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Pr>
          <w:rFonts w:ascii="Times New Roman" w:eastAsia="Times New Roman" w:hAnsi="Times New Roman" w:cs="Times New Roman"/>
          <w:sz w:val="28"/>
          <w:szCs w:val="20"/>
          <w:lang w:eastAsia="pl-PL"/>
        </w:rPr>
        <w:t>SZCZEGÓŁOWE</w:t>
      </w:r>
      <w:r w:rsidRPr="00BA4EF4">
        <w:rPr>
          <w:rFonts w:ascii="Times New Roman" w:eastAsia="Times New Roman" w:hAnsi="Times New Roman" w:cs="Times New Roman"/>
          <w:sz w:val="28"/>
          <w:szCs w:val="20"/>
          <w:lang w:eastAsia="pl-PL"/>
        </w:rPr>
        <w:t xml:space="preserve"> SPECYFIKACJE TECHNICZNE</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sidRPr="00BA4EF4">
        <w:rPr>
          <w:rFonts w:ascii="Times New Roman" w:eastAsia="Times New Roman" w:hAnsi="Times New Roman" w:cs="Times New Roman"/>
          <w:b/>
          <w:sz w:val="28"/>
          <w:szCs w:val="20"/>
          <w:lang w:eastAsia="pl-PL"/>
        </w:rPr>
        <w:t>D 05.02.01</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r w:rsidRPr="00BA4EF4">
        <w:rPr>
          <w:rFonts w:ascii="Times New Roman" w:eastAsia="Times New Roman" w:hAnsi="Times New Roman" w:cs="Times New Roman"/>
          <w:b/>
          <w:sz w:val="28"/>
          <w:szCs w:val="20"/>
          <w:lang w:eastAsia="pl-PL"/>
        </w:rPr>
        <w:t>NAWIERZCHNIA  TŁUCZNIOWA</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19"/>
          <w:szCs w:val="20"/>
          <w:lang w:eastAsia="pl-PL"/>
        </w:rPr>
      </w:pP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kern w:val="28"/>
          <w:sz w:val="19"/>
          <w:szCs w:val="20"/>
          <w:lang w:eastAsia="pl-PL"/>
        </w:rPr>
        <w:br w:type="page"/>
      </w:r>
      <w:r w:rsidRPr="00BA4EF4">
        <w:rPr>
          <w:rFonts w:ascii="Times New Roman" w:eastAsia="Times New Roman" w:hAnsi="Times New Roman" w:cs="Times New Roman"/>
          <w:b/>
          <w:caps/>
          <w:kern w:val="28"/>
          <w:sz w:val="20"/>
          <w:szCs w:val="20"/>
          <w:lang w:eastAsia="pl-PL"/>
        </w:rPr>
        <w:lastRenderedPageBreak/>
        <w:t>1. WSTĘP</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1.1. Przedmiot S</w:t>
      </w:r>
      <w:r w:rsidRPr="00BA4EF4">
        <w:rPr>
          <w:rFonts w:ascii="Times New Roman" w:eastAsia="Times New Roman" w:hAnsi="Times New Roman" w:cs="Times New Roman"/>
          <w:b/>
          <w:sz w:val="20"/>
          <w:szCs w:val="20"/>
          <w:lang w:eastAsia="pl-PL"/>
        </w:rPr>
        <w:t>ST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b/>
        <w:t>Przedmiotem niniejszej szczegółowej</w:t>
      </w:r>
      <w:bookmarkStart w:id="0" w:name="_GoBack"/>
      <w:bookmarkEnd w:id="0"/>
      <w:r w:rsidRPr="00BA4EF4">
        <w:rPr>
          <w:rFonts w:ascii="Times New Roman" w:eastAsia="Times New Roman" w:hAnsi="Times New Roman" w:cs="Times New Roman"/>
          <w:sz w:val="20"/>
          <w:szCs w:val="20"/>
          <w:lang w:eastAsia="pl-PL"/>
        </w:rPr>
        <w:t xml:space="preserve"> specyfikacji technicznej (OST) są wymagania dotyczące wykonania i odbioru nawierzchni tłuczniowej.</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1.2. Zakres stosowania S</w:t>
      </w:r>
      <w:r w:rsidRPr="00BA4EF4">
        <w:rPr>
          <w:rFonts w:ascii="Times New Roman" w:eastAsia="Times New Roman" w:hAnsi="Times New Roman" w:cs="Times New Roman"/>
          <w:b/>
          <w:sz w:val="20"/>
          <w:szCs w:val="20"/>
          <w:lang w:eastAsia="pl-PL"/>
        </w:rPr>
        <w:t>ST</w:t>
      </w:r>
    </w:p>
    <w:p w:rsidR="00BA4EF4" w:rsidRPr="00BA4EF4" w:rsidRDefault="00BA4EF4" w:rsidP="00BA4EF4">
      <w:pPr>
        <w:tabs>
          <w:tab w:val="left" w:pos="0"/>
        </w:tabs>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Szczegółowa specyfikacja techniczna (SST) stanowi dokument przetargowy i kontraktowy przy zlecaniu i realizacji zadania :</w:t>
      </w:r>
    </w:p>
    <w:p w:rsidR="00BA4EF4" w:rsidRPr="00BA4EF4" w:rsidRDefault="00BA4EF4" w:rsidP="00BA4EF4">
      <w:pPr>
        <w:overflowPunct w:val="0"/>
        <w:autoSpaceDE w:val="0"/>
        <w:autoSpaceDN w:val="0"/>
        <w:adjustRightInd w:val="0"/>
        <w:spacing w:after="0" w:line="240" w:lineRule="auto"/>
        <w:ind w:firstLine="708"/>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Remont drogi gminnej nr ew. 1 OBRĘB 0006 Bystre</w:t>
      </w:r>
      <w:r w:rsidRPr="00BA4EF4">
        <w:rPr>
          <w:rFonts w:ascii="Times New Roman" w:eastAsia="Times New Roman" w:hAnsi="Times New Roman" w:cs="Times New Roman"/>
          <w:b/>
          <w:sz w:val="20"/>
          <w:szCs w:val="20"/>
          <w:lang w:eastAsia="pl-PL"/>
        </w:rPr>
        <w:tab/>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1.3. Zakres robót objętych S</w:t>
      </w:r>
      <w:r w:rsidRPr="00BA4EF4">
        <w:rPr>
          <w:rFonts w:ascii="Times New Roman" w:eastAsia="Times New Roman" w:hAnsi="Times New Roman" w:cs="Times New Roman"/>
          <w:b/>
          <w:sz w:val="20"/>
          <w:szCs w:val="20"/>
          <w:lang w:eastAsia="pl-PL"/>
        </w:rPr>
        <w:t>ST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Ustalenia zawarte w niniejszej specyfikacji dotyczą zasad prowadzenia robót związanych z wykonaniem nawierzchni tłuczniowej, wg PN-S-96023 [20].</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Nawierzchnię tłuczniową wykonuje się, zgodnie z ustaleniami podanymi w dokumentacji projektowej:</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bezpośrednio na podłożu gruntowym przepuszczalnym,</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na warstwie gruntu ulepszonego wapnem lub popiołami lotnymi względnie na warstwie odcinającej - w przypadku podłoża nieprzepuszczalnego.</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1.4. Określenia podstawowe</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1.4.1. </w:t>
      </w:r>
      <w:r w:rsidRPr="00BA4EF4">
        <w:rPr>
          <w:rFonts w:ascii="Times New Roman" w:eastAsia="Times New Roman" w:hAnsi="Times New Roman" w:cs="Times New Roman"/>
          <w:sz w:val="20"/>
          <w:szCs w:val="20"/>
          <w:lang w:eastAsia="pl-PL"/>
        </w:rPr>
        <w:t>Nawierzchnia tłuczniowa - jedna lub więcej warstw z tłucznia i klińca kamiennego, leżących na podłożu naturalnym lub ulepszonym, zaklinowanych i uzdatnionych do bezpośredniego przejmowania ruchu.</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1.4.2. </w:t>
      </w:r>
      <w:r w:rsidRPr="00BA4EF4">
        <w:rPr>
          <w:rFonts w:ascii="Times New Roman" w:eastAsia="Times New Roman" w:hAnsi="Times New Roman" w:cs="Times New Roman"/>
          <w:sz w:val="20"/>
          <w:szCs w:val="20"/>
          <w:lang w:eastAsia="pl-PL"/>
        </w:rPr>
        <w:t>Kruszywo łamane - materiał ziarnisty uzyskany przez mechaniczne rozdrobnienie skał litych, wg PN-B-01100 [1].</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1.4.3. </w:t>
      </w:r>
      <w:r w:rsidRPr="00BA4EF4">
        <w:rPr>
          <w:rFonts w:ascii="Times New Roman" w:eastAsia="Times New Roman" w:hAnsi="Times New Roman" w:cs="Times New Roman"/>
          <w:sz w:val="20"/>
          <w:szCs w:val="20"/>
          <w:lang w:eastAsia="pl-PL"/>
        </w:rPr>
        <w:t xml:space="preserve">Kruszywo łamane zwykłe - kruszywo uzyskane w wyniku co najmniej jednokrotnego </w:t>
      </w:r>
      <w:proofErr w:type="spellStart"/>
      <w:r w:rsidRPr="00BA4EF4">
        <w:rPr>
          <w:rFonts w:ascii="Times New Roman" w:eastAsia="Times New Roman" w:hAnsi="Times New Roman" w:cs="Times New Roman"/>
          <w:sz w:val="20"/>
          <w:szCs w:val="20"/>
          <w:lang w:eastAsia="pl-PL"/>
        </w:rPr>
        <w:t>przekruszenia</w:t>
      </w:r>
      <w:proofErr w:type="spellEnd"/>
      <w:r w:rsidRPr="00BA4EF4">
        <w:rPr>
          <w:rFonts w:ascii="Times New Roman" w:eastAsia="Times New Roman" w:hAnsi="Times New Roman" w:cs="Times New Roman"/>
          <w:sz w:val="20"/>
          <w:szCs w:val="20"/>
          <w:lang w:eastAsia="pl-PL"/>
        </w:rPr>
        <w:t xml:space="preserve"> skał litych i rozsiania na frakcje lub grupy frakcji, charakteryzujące się ziarnami </w:t>
      </w:r>
      <w:proofErr w:type="spellStart"/>
      <w:r w:rsidRPr="00BA4EF4">
        <w:rPr>
          <w:rFonts w:ascii="Times New Roman" w:eastAsia="Times New Roman" w:hAnsi="Times New Roman" w:cs="Times New Roman"/>
          <w:sz w:val="20"/>
          <w:szCs w:val="20"/>
          <w:lang w:eastAsia="pl-PL"/>
        </w:rPr>
        <w:t>ostrokrawędziastymi</w:t>
      </w:r>
      <w:proofErr w:type="spellEnd"/>
      <w:r w:rsidRPr="00BA4EF4">
        <w:rPr>
          <w:rFonts w:ascii="Times New Roman" w:eastAsia="Times New Roman" w:hAnsi="Times New Roman" w:cs="Times New Roman"/>
          <w:sz w:val="20"/>
          <w:szCs w:val="20"/>
          <w:lang w:eastAsia="pl-PL"/>
        </w:rPr>
        <w:t xml:space="preserve"> o nieforemnych kształtach, wg PN-B-01100 [1].</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1.4.4. </w:t>
      </w:r>
      <w:r w:rsidRPr="00BA4EF4">
        <w:rPr>
          <w:rFonts w:ascii="Times New Roman" w:eastAsia="Times New Roman" w:hAnsi="Times New Roman" w:cs="Times New Roman"/>
          <w:sz w:val="20"/>
          <w:szCs w:val="20"/>
          <w:lang w:eastAsia="pl-PL"/>
        </w:rPr>
        <w:t xml:space="preserve">Tłuczeń - kruszywo łamane zwykłe o wielkości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od 31,5 mm do 63 mm.</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1.4.5. </w:t>
      </w:r>
      <w:r w:rsidRPr="00BA4EF4">
        <w:rPr>
          <w:rFonts w:ascii="Times New Roman" w:eastAsia="Times New Roman" w:hAnsi="Times New Roman" w:cs="Times New Roman"/>
          <w:sz w:val="20"/>
          <w:szCs w:val="20"/>
          <w:lang w:eastAsia="pl-PL"/>
        </w:rPr>
        <w:t xml:space="preserve">Kliniec - kruszywo łamane zwykłe o wielkości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od 4 mm do 31,5 mm.</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1.4.6. </w:t>
      </w:r>
      <w:r w:rsidRPr="00BA4EF4">
        <w:rPr>
          <w:rFonts w:ascii="Times New Roman" w:eastAsia="Times New Roman" w:hAnsi="Times New Roman" w:cs="Times New Roman"/>
          <w:sz w:val="20"/>
          <w:szCs w:val="20"/>
          <w:lang w:eastAsia="pl-PL"/>
        </w:rPr>
        <w:t xml:space="preserve">Miał - kruszywo łamane zwykłe o wielkości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do 4 mm.</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1.4.7. </w:t>
      </w:r>
      <w:r w:rsidRPr="00BA4EF4">
        <w:rPr>
          <w:rFonts w:ascii="Times New Roman" w:eastAsia="Times New Roman" w:hAnsi="Times New Roman" w:cs="Times New Roman"/>
          <w:sz w:val="20"/>
          <w:szCs w:val="20"/>
          <w:lang w:eastAsia="pl-PL"/>
        </w:rPr>
        <w:t xml:space="preserve">Mieszanka drobna granulowana - kruszywo uzyskane w wyniku rozdrobnienia w granulatorach łamanego kruszywa zwykłego, charakteryzujące się chropowatymi powierzchniami i foremnym kształtem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o stępionych krawędziach i narożach, o wielkości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od 0,075 mm do 4 mm.</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1.4.8. </w:t>
      </w:r>
      <w:r w:rsidRPr="00BA4EF4">
        <w:rPr>
          <w:rFonts w:ascii="Times New Roman" w:eastAsia="Times New Roman" w:hAnsi="Times New Roman" w:cs="Times New Roman"/>
          <w:sz w:val="20"/>
          <w:szCs w:val="20"/>
          <w:lang w:eastAsia="pl-PL"/>
        </w:rPr>
        <w:t xml:space="preserve">Piasek - kruszywo naturalne o wielkości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do 2 mm.</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1.4.9. </w:t>
      </w:r>
      <w:r w:rsidRPr="00BA4EF4">
        <w:rPr>
          <w:rFonts w:ascii="Times New Roman" w:eastAsia="Times New Roman" w:hAnsi="Times New Roman" w:cs="Times New Roman"/>
          <w:sz w:val="20"/>
          <w:szCs w:val="20"/>
          <w:lang w:eastAsia="pl-PL"/>
        </w:rPr>
        <w:t xml:space="preserve">Pozostałe określenia są zgodne z obowiązującymi, odpowiednimi polskimi normami i definicjami podanymi w OST D-05.02.00 „Nawierzchnie twarde nieulepszone. Wymagania ogólne” pkt 1.4. </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1.5. Ogólne wymagania dotyczące robót</w:t>
      </w:r>
    </w:p>
    <w:p w:rsidR="00BA4EF4" w:rsidRPr="00BA4EF4" w:rsidRDefault="00BA4EF4" w:rsidP="00BA4EF4">
      <w:pPr>
        <w:overflowPunct w:val="0"/>
        <w:autoSpaceDE w:val="0"/>
        <w:autoSpaceDN w:val="0"/>
        <w:adjustRightInd w:val="0"/>
        <w:spacing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wymagania dotyczące robót podano w OST D-05.02.00 „Nawierzchnie twarde nieulepszone. Wymagania ogólne” pkt 1.5.</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2. materiały</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2.1. Ogólne wymagania dotyczące materiałów</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wymagania dotyczące materiałów, ich pozyskiwania i składowania podano w OST D-05.02.00 „Nawierzchnie twarde nieulepszone. Wymagania ogólne” pkt 2.</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2.2. Rodzaje materiałów</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Materiałami stosowanymi przy wykonaniu nawierzchni tłuczniowej wg PN-S-96023 [20] są:</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kruszywo łamane zwykłe - tłuczeń i kliniec, wg PN-B-11112 [15],</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mieszanka drobna granulowana, wg PN-B-11112 [15],</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kruszywo do zamulenia górnej warstwy nawierzchni - miał, wg PN-B-11112 [15] lub piasek wg PN-B-11113 [16],</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woda do skropienia podczas wałowania i zamulania.</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lastRenderedPageBreak/>
        <w:t>2.3. Wymagania dla materiałów</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Klasa i gatunek kruszywa, w zależności od kategorii ruchu, powinna być zgodna z wymaganiami normy PN-S-96023 [20].</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Dla dróg obciążonych ruchem:</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średnim i lekkośrednim - kruszywo klasy co najmniej II gatunek 2,</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lekkim i bardzo lekkim - kruszywo klasy II lub III, gatunek 2.</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Wymagania dla kruszywa podano w tablicach 1, 2 i 3.</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120"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Tablica 1. Wymagania dla tłucznia i klińca klasy II i III według PN-B-11112 [15]</w:t>
      </w:r>
    </w:p>
    <w:tbl>
      <w:tblPr>
        <w:tblW w:w="0" w:type="auto"/>
        <w:tblLayout w:type="fixed"/>
        <w:tblCellMar>
          <w:left w:w="70" w:type="dxa"/>
          <w:right w:w="70" w:type="dxa"/>
        </w:tblCellMar>
        <w:tblLook w:val="04A0" w:firstRow="1" w:lastRow="0" w:firstColumn="1" w:lastColumn="0" w:noHBand="0" w:noVBand="1"/>
      </w:tblPr>
      <w:tblGrid>
        <w:gridCol w:w="496"/>
        <w:gridCol w:w="4677"/>
        <w:gridCol w:w="1168"/>
        <w:gridCol w:w="1169"/>
      </w:tblGrid>
      <w:tr w:rsidR="00BA4EF4" w:rsidRPr="00BA4EF4" w:rsidTr="00BA4EF4">
        <w:tc>
          <w:tcPr>
            <w:tcW w:w="496" w:type="dxa"/>
            <w:tcBorders>
              <w:top w:val="single" w:sz="6" w:space="0" w:color="auto"/>
              <w:left w:val="single" w:sz="6" w:space="0" w:color="auto"/>
              <w:bottom w:val="nil"/>
              <w:right w:val="nil"/>
            </w:tcBorders>
            <w:hideMark/>
          </w:tcPr>
          <w:p w:rsidR="00BA4EF4" w:rsidRPr="00BA4EF4" w:rsidRDefault="00BA4EF4" w:rsidP="00BA4EF4">
            <w:pPr>
              <w:overflowPunct w:val="0"/>
              <w:autoSpaceDE w:val="0"/>
              <w:autoSpaceDN w:val="0"/>
              <w:adjustRightInd w:val="0"/>
              <w:spacing w:before="12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Lp.</w:t>
            </w:r>
          </w:p>
        </w:tc>
        <w:tc>
          <w:tcPr>
            <w:tcW w:w="4677" w:type="dxa"/>
            <w:tcBorders>
              <w:top w:val="single" w:sz="6" w:space="0" w:color="auto"/>
              <w:left w:val="single" w:sz="6" w:space="0" w:color="auto"/>
              <w:bottom w:val="nil"/>
              <w:right w:val="nil"/>
            </w:tcBorders>
            <w:hideMark/>
          </w:tcPr>
          <w:p w:rsidR="00BA4EF4" w:rsidRPr="00BA4EF4" w:rsidRDefault="00BA4EF4" w:rsidP="00BA4EF4">
            <w:pPr>
              <w:overflowPunct w:val="0"/>
              <w:autoSpaceDE w:val="0"/>
              <w:autoSpaceDN w:val="0"/>
              <w:adjustRightInd w:val="0"/>
              <w:spacing w:before="12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Właściwości</w:t>
            </w:r>
          </w:p>
        </w:tc>
        <w:tc>
          <w:tcPr>
            <w:tcW w:w="2337" w:type="dxa"/>
            <w:gridSpan w:val="2"/>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Wymagania</w:t>
            </w:r>
          </w:p>
        </w:tc>
      </w:tr>
      <w:tr w:rsidR="00BA4EF4" w:rsidRPr="00BA4EF4" w:rsidTr="00BA4EF4">
        <w:tc>
          <w:tcPr>
            <w:tcW w:w="496" w:type="dxa"/>
            <w:tcBorders>
              <w:top w:val="nil"/>
              <w:left w:val="single" w:sz="6" w:space="0" w:color="auto"/>
              <w:bottom w:val="doub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tc>
        <w:tc>
          <w:tcPr>
            <w:tcW w:w="4677" w:type="dxa"/>
            <w:tcBorders>
              <w:top w:val="nil"/>
              <w:left w:val="nil"/>
              <w:bottom w:val="double" w:sz="6" w:space="0" w:color="auto"/>
              <w:right w:val="nil"/>
            </w:tcBorders>
          </w:tcPr>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tc>
        <w:tc>
          <w:tcPr>
            <w:tcW w:w="1168"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klasa II</w:t>
            </w:r>
          </w:p>
        </w:tc>
        <w:tc>
          <w:tcPr>
            <w:tcW w:w="1168"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klasa III</w:t>
            </w:r>
          </w:p>
        </w:tc>
      </w:tr>
      <w:tr w:rsidR="00BA4EF4" w:rsidRPr="00BA4EF4" w:rsidTr="00BA4EF4">
        <w:tc>
          <w:tcPr>
            <w:tcW w:w="496"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w:t>
            </w:r>
          </w:p>
        </w:tc>
        <w:tc>
          <w:tcPr>
            <w:tcW w:w="4677"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Ścieralność w bębnie kulowym (Los Angeles) wg PN-B-06714-42 [13]:</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 po pełnej liczbie obrotów, % ubytku masy, nie więcej</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    niż:</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 tłuczniu</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 klińcu</w:t>
            </w:r>
          </w:p>
          <w:p w:rsidR="00BA4EF4" w:rsidRPr="00BA4EF4" w:rsidRDefault="00BA4EF4" w:rsidP="00BA4EF4">
            <w:pPr>
              <w:numPr>
                <w:ilvl w:val="0"/>
                <w:numId w:val="2"/>
              </w:numPr>
              <w:overflowPunct w:val="0"/>
              <w:autoSpaceDE w:val="0"/>
              <w:autoSpaceDN w:val="0"/>
              <w:adjustRightInd w:val="0"/>
              <w:spacing w:after="60" w:line="240" w:lineRule="auto"/>
              <w:ind w:left="284" w:hanging="284"/>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po 1/5 pełnej liczby obrotów, % ubytku masy w stosunku do ubytku masy po pełnej liczbie obrotów, nie więcej niż:</w:t>
            </w:r>
          </w:p>
        </w:tc>
        <w:tc>
          <w:tcPr>
            <w:tcW w:w="1168" w:type="dxa"/>
            <w:tcBorders>
              <w:top w:val="nil"/>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35</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30</w:t>
            </w:r>
          </w:p>
        </w:tc>
        <w:tc>
          <w:tcPr>
            <w:tcW w:w="1168" w:type="dxa"/>
            <w:tcBorders>
              <w:top w:val="nil"/>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50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50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35</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2</w:t>
            </w:r>
          </w:p>
        </w:tc>
        <w:tc>
          <w:tcPr>
            <w:tcW w:w="467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Nasiąkliwość, wg PN-B-06714-18 [9], % (m/m), nie więcej niż:</w:t>
            </w:r>
          </w:p>
          <w:p w:rsidR="00BA4EF4" w:rsidRPr="00BA4EF4" w:rsidRDefault="00BA4EF4" w:rsidP="00BA4EF4">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dla kruszyw ze skał magmowych i przeobrażonych</w:t>
            </w:r>
          </w:p>
          <w:p w:rsidR="00BA4EF4" w:rsidRPr="00BA4EF4" w:rsidRDefault="00BA4EF4" w:rsidP="00BA4EF4">
            <w:pPr>
              <w:numPr>
                <w:ilvl w:val="0"/>
                <w:numId w:val="3"/>
              </w:numPr>
              <w:overflowPunct w:val="0"/>
              <w:autoSpaceDE w:val="0"/>
              <w:autoSpaceDN w:val="0"/>
              <w:adjustRightInd w:val="0"/>
              <w:spacing w:after="60" w:line="240" w:lineRule="auto"/>
              <w:ind w:left="284" w:hanging="284"/>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dla kruszyw ze skał osadowych</w:t>
            </w:r>
          </w:p>
        </w:tc>
        <w:tc>
          <w:tcPr>
            <w:tcW w:w="1168"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2,0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3,0</w:t>
            </w:r>
          </w:p>
        </w:tc>
        <w:tc>
          <w:tcPr>
            <w:tcW w:w="1168"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5,0</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w:t>
            </w:r>
          </w:p>
        </w:tc>
        <w:tc>
          <w:tcPr>
            <w:tcW w:w="467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Odporność na działanie mrozu, wg PN-B-06714-20 [11], % ubytku masy, nie więcej niż:</w:t>
            </w:r>
          </w:p>
          <w:p w:rsidR="00BA4EF4" w:rsidRPr="00BA4EF4" w:rsidRDefault="00BA4EF4" w:rsidP="00BA4EF4">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dla kruszyw ze skał magmowych i przeobrażonych</w:t>
            </w:r>
          </w:p>
          <w:p w:rsidR="00BA4EF4" w:rsidRPr="00BA4EF4" w:rsidRDefault="00BA4EF4" w:rsidP="00BA4EF4">
            <w:pPr>
              <w:numPr>
                <w:ilvl w:val="0"/>
                <w:numId w:val="4"/>
              </w:numPr>
              <w:overflowPunct w:val="0"/>
              <w:autoSpaceDE w:val="0"/>
              <w:autoSpaceDN w:val="0"/>
              <w:adjustRightInd w:val="0"/>
              <w:spacing w:after="60" w:line="240" w:lineRule="auto"/>
              <w:ind w:left="284" w:hanging="284"/>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dla kruszyw ze skał osadowych</w:t>
            </w:r>
          </w:p>
        </w:tc>
        <w:tc>
          <w:tcPr>
            <w:tcW w:w="1168"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5,0</w:t>
            </w:r>
          </w:p>
        </w:tc>
        <w:tc>
          <w:tcPr>
            <w:tcW w:w="1168"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10,0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10,0</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w:t>
            </w:r>
          </w:p>
        </w:tc>
        <w:tc>
          <w:tcPr>
            <w:tcW w:w="467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Odporność na działanie mrozu wg zmodyfikowanej metody bezpośredniej, wg PN-B-06714-19 [10] i PN-B-11112 [15], nie więcej niż:</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 klińcu,</w:t>
            </w:r>
          </w:p>
          <w:p w:rsidR="00BA4EF4" w:rsidRPr="00BA4EF4" w:rsidRDefault="00BA4EF4" w:rsidP="00BA4EF4">
            <w:pPr>
              <w:numPr>
                <w:ilvl w:val="0"/>
                <w:numId w:val="1"/>
              </w:numPr>
              <w:overflowPunct w:val="0"/>
              <w:autoSpaceDE w:val="0"/>
              <w:autoSpaceDN w:val="0"/>
              <w:adjustRightInd w:val="0"/>
              <w:spacing w:after="60" w:line="240" w:lineRule="auto"/>
              <w:ind w:left="284" w:hanging="284"/>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 tłuczniu</w:t>
            </w:r>
          </w:p>
        </w:tc>
        <w:tc>
          <w:tcPr>
            <w:tcW w:w="1168"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nie bada się</w:t>
            </w:r>
          </w:p>
        </w:tc>
        <w:tc>
          <w:tcPr>
            <w:tcW w:w="1168"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nie</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bada się</w:t>
            </w:r>
          </w:p>
        </w:tc>
      </w:tr>
    </w:tbl>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Tablica 2. Wymagania dla tłucznia i klińca gatunku 2, według PN-B-11112 [15]</w:t>
      </w:r>
    </w:p>
    <w:tbl>
      <w:tblPr>
        <w:tblW w:w="0" w:type="auto"/>
        <w:tblLayout w:type="fixed"/>
        <w:tblCellMar>
          <w:left w:w="70" w:type="dxa"/>
          <w:right w:w="70" w:type="dxa"/>
        </w:tblCellMar>
        <w:tblLook w:val="04A0" w:firstRow="1" w:lastRow="0" w:firstColumn="1" w:lastColumn="0" w:noHBand="0" w:noVBand="1"/>
      </w:tblPr>
      <w:tblGrid>
        <w:gridCol w:w="496"/>
        <w:gridCol w:w="5244"/>
        <w:gridCol w:w="1770"/>
      </w:tblGrid>
      <w:tr w:rsidR="00BA4EF4" w:rsidRPr="00BA4EF4" w:rsidTr="00BA4EF4">
        <w:tc>
          <w:tcPr>
            <w:tcW w:w="496"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Lp.</w:t>
            </w:r>
          </w:p>
        </w:tc>
        <w:tc>
          <w:tcPr>
            <w:tcW w:w="5244"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Właściwości</w:t>
            </w:r>
          </w:p>
        </w:tc>
        <w:tc>
          <w:tcPr>
            <w:tcW w:w="1770"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Wymagania</w:t>
            </w:r>
          </w:p>
        </w:tc>
      </w:tr>
      <w:tr w:rsidR="00BA4EF4" w:rsidRPr="00BA4EF4" w:rsidTr="00BA4EF4">
        <w:tc>
          <w:tcPr>
            <w:tcW w:w="496"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w:t>
            </w:r>
          </w:p>
        </w:tc>
        <w:tc>
          <w:tcPr>
            <w:tcW w:w="5244"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Uziarnienie wg PN-B-06714-15 [7]:</w:t>
            </w:r>
          </w:p>
          <w:p w:rsidR="00BA4EF4" w:rsidRPr="00BA4EF4" w:rsidRDefault="00BA4EF4" w:rsidP="00BA4EF4">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zawartość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mniejszych niż 0,075 mm, odsianych na mokro, % (m/m), nie więcej niż:</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      - w tłuczniu</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      - w klińcu</w:t>
            </w:r>
          </w:p>
          <w:p w:rsidR="00BA4EF4" w:rsidRPr="00BA4EF4" w:rsidRDefault="00BA4EF4" w:rsidP="00BA4EF4">
            <w:pPr>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frakcji podstawowej w tłuczniu lub klińcu, % (m/m), nie mniej niż:</w:t>
            </w:r>
          </w:p>
          <w:p w:rsidR="00BA4EF4" w:rsidRPr="00BA4EF4" w:rsidRDefault="00BA4EF4" w:rsidP="00BA4EF4">
            <w:pPr>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podziarna w tłuczniu lub klińcu, % (m/m), nie więcej niż:</w:t>
            </w:r>
          </w:p>
          <w:p w:rsidR="00BA4EF4" w:rsidRPr="00BA4EF4" w:rsidRDefault="00BA4EF4" w:rsidP="00BA4EF4">
            <w:pPr>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nadziarna w tłuczniu lub klińcu, % (m/m), nie więcej niż:</w:t>
            </w:r>
          </w:p>
        </w:tc>
        <w:tc>
          <w:tcPr>
            <w:tcW w:w="1770" w:type="dxa"/>
            <w:tcBorders>
              <w:top w:val="nil"/>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75</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15</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15</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2</w:t>
            </w:r>
          </w:p>
        </w:tc>
        <w:tc>
          <w:tcPr>
            <w:tcW w:w="5244"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zanieczyszczeń obcych w tłuczniu lub klińcu, wg PN-B-06714-12 [6], % (m/m), nie więcej niż:</w:t>
            </w:r>
          </w:p>
        </w:tc>
        <w:tc>
          <w:tcPr>
            <w:tcW w:w="1770"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2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0,2</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w:t>
            </w:r>
          </w:p>
        </w:tc>
        <w:tc>
          <w:tcPr>
            <w:tcW w:w="5244"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Zawartość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nieforemnych, wg PN-B-06714-16 [8], % (m/m), nie więcej niż:</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w tłuczniu</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w klińcu</w:t>
            </w:r>
          </w:p>
        </w:tc>
        <w:tc>
          <w:tcPr>
            <w:tcW w:w="1770"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nie bada się</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w:t>
            </w:r>
          </w:p>
        </w:tc>
        <w:tc>
          <w:tcPr>
            <w:tcW w:w="5244"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zanieczyszczeń organicznych w tłuczniu lub klińcu wg PN-B-06714-26 [12], barwa cieczy nie ciemniejsza niż:</w:t>
            </w:r>
          </w:p>
        </w:tc>
        <w:tc>
          <w:tcPr>
            <w:tcW w:w="1770"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2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wzorcowa</w:t>
            </w:r>
          </w:p>
        </w:tc>
      </w:tr>
    </w:tbl>
    <w:p w:rsidR="00BA4EF4" w:rsidRPr="00BA4EF4" w:rsidRDefault="00BA4EF4" w:rsidP="00BA4EF4">
      <w:pPr>
        <w:overflowPunct w:val="0"/>
        <w:autoSpaceDE w:val="0"/>
        <w:autoSpaceDN w:val="0"/>
        <w:adjustRightInd w:val="0"/>
        <w:spacing w:before="240"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Tablica 3. Wymagania dla miału i mieszanki drobnej granulowanej wg PN-B-11112[15]</w:t>
      </w:r>
    </w:p>
    <w:tbl>
      <w:tblPr>
        <w:tblW w:w="0" w:type="auto"/>
        <w:tblLayout w:type="fixed"/>
        <w:tblCellMar>
          <w:left w:w="70" w:type="dxa"/>
          <w:right w:w="70" w:type="dxa"/>
        </w:tblCellMar>
        <w:tblLook w:val="04A0" w:firstRow="1" w:lastRow="0" w:firstColumn="1" w:lastColumn="0" w:noHBand="0" w:noVBand="1"/>
      </w:tblPr>
      <w:tblGrid>
        <w:gridCol w:w="496"/>
        <w:gridCol w:w="4677"/>
        <w:gridCol w:w="1167"/>
        <w:gridCol w:w="1170"/>
      </w:tblGrid>
      <w:tr w:rsidR="00BA4EF4" w:rsidRPr="00BA4EF4" w:rsidTr="00BA4EF4">
        <w:tc>
          <w:tcPr>
            <w:tcW w:w="496" w:type="dxa"/>
            <w:tcBorders>
              <w:top w:val="single" w:sz="6" w:space="0" w:color="auto"/>
              <w:left w:val="single" w:sz="6" w:space="0" w:color="auto"/>
              <w:bottom w:val="nil"/>
              <w:right w:val="nil"/>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tc>
        <w:tc>
          <w:tcPr>
            <w:tcW w:w="4677" w:type="dxa"/>
            <w:tcBorders>
              <w:top w:val="single" w:sz="6" w:space="0" w:color="auto"/>
              <w:left w:val="single" w:sz="6" w:space="0" w:color="auto"/>
              <w:bottom w:val="nil"/>
              <w:right w:val="nil"/>
            </w:tcBorders>
          </w:tcPr>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tc>
        <w:tc>
          <w:tcPr>
            <w:tcW w:w="2337" w:type="dxa"/>
            <w:gridSpan w:val="2"/>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Wymagania dla</w:t>
            </w:r>
          </w:p>
        </w:tc>
      </w:tr>
      <w:tr w:rsidR="00BA4EF4" w:rsidRPr="00BA4EF4" w:rsidTr="00BA4EF4">
        <w:tc>
          <w:tcPr>
            <w:tcW w:w="496" w:type="dxa"/>
            <w:tcBorders>
              <w:top w:val="nil"/>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Lp.</w:t>
            </w:r>
          </w:p>
        </w:tc>
        <w:tc>
          <w:tcPr>
            <w:tcW w:w="4677" w:type="dxa"/>
            <w:tcBorders>
              <w:top w:val="nil"/>
              <w:left w:val="nil"/>
              <w:bottom w:val="double" w:sz="6" w:space="0" w:color="auto"/>
              <w:right w:val="nil"/>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Właściwości</w:t>
            </w:r>
          </w:p>
        </w:tc>
        <w:tc>
          <w:tcPr>
            <w:tcW w:w="1167"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miału</w:t>
            </w:r>
          </w:p>
        </w:tc>
        <w:tc>
          <w:tcPr>
            <w:tcW w:w="1167"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18"/>
                <w:szCs w:val="20"/>
                <w:lang w:eastAsia="pl-PL"/>
              </w:rPr>
              <w:t>mieszanki drobnej granulowanej</w:t>
            </w:r>
          </w:p>
        </w:tc>
      </w:tr>
      <w:tr w:rsidR="00BA4EF4" w:rsidRPr="00BA4EF4" w:rsidTr="00BA4EF4">
        <w:tc>
          <w:tcPr>
            <w:tcW w:w="496"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w:t>
            </w:r>
          </w:p>
        </w:tc>
        <w:tc>
          <w:tcPr>
            <w:tcW w:w="4677"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zanieczyszczeń obcych, wg PN-B-06714-12 [6], % (m/m), nie więcej niż:</w:t>
            </w:r>
          </w:p>
        </w:tc>
        <w:tc>
          <w:tcPr>
            <w:tcW w:w="1167"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0,5</w:t>
            </w:r>
          </w:p>
        </w:tc>
        <w:tc>
          <w:tcPr>
            <w:tcW w:w="1167"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0,1</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2</w:t>
            </w:r>
          </w:p>
        </w:tc>
        <w:tc>
          <w:tcPr>
            <w:tcW w:w="467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Wskaźnik piaskowy, wg BN-64/8931-01 [22], nie mniejszy niż:</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dla kruszywa z wyjątkiem wapieni</w:t>
            </w:r>
          </w:p>
          <w:p w:rsidR="00BA4EF4" w:rsidRPr="00BA4EF4" w:rsidRDefault="00BA4EF4" w:rsidP="00BA4EF4">
            <w:pPr>
              <w:overflowPunct w:val="0"/>
              <w:autoSpaceDE w:val="0"/>
              <w:autoSpaceDN w:val="0"/>
              <w:adjustRightInd w:val="0"/>
              <w:spacing w:after="6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dla kruszywa z wapieni</w:t>
            </w:r>
          </w:p>
        </w:tc>
        <w:tc>
          <w:tcPr>
            <w:tcW w:w="1167"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20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20</w:t>
            </w:r>
          </w:p>
        </w:tc>
        <w:tc>
          <w:tcPr>
            <w:tcW w:w="1167" w:type="dxa"/>
            <w:tcBorders>
              <w:top w:val="single" w:sz="6" w:space="0" w:color="auto"/>
              <w:left w:val="single" w:sz="6" w:space="0" w:color="auto"/>
              <w:bottom w:val="single" w:sz="6" w:space="0" w:color="auto"/>
              <w:right w:val="single" w:sz="6" w:space="0" w:color="auto"/>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65</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40</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3</w:t>
            </w:r>
          </w:p>
        </w:tc>
        <w:tc>
          <w:tcPr>
            <w:tcW w:w="467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zanieczyszczeń organicznych, wg PN-B-06714-26 [12]. Barwa cieczy nie ciemniejsza niż:</w:t>
            </w:r>
          </w:p>
        </w:tc>
        <w:tc>
          <w:tcPr>
            <w:tcW w:w="116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wzorcowa</w:t>
            </w:r>
          </w:p>
        </w:tc>
        <w:tc>
          <w:tcPr>
            <w:tcW w:w="116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wzorcowa</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4</w:t>
            </w:r>
          </w:p>
        </w:tc>
        <w:tc>
          <w:tcPr>
            <w:tcW w:w="467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nadziarna, wg PN-B-06714-15 [7], % (m/m), nie więcej niż:</w:t>
            </w:r>
          </w:p>
        </w:tc>
        <w:tc>
          <w:tcPr>
            <w:tcW w:w="116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20</w:t>
            </w:r>
          </w:p>
        </w:tc>
        <w:tc>
          <w:tcPr>
            <w:tcW w:w="116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15</w:t>
            </w:r>
          </w:p>
        </w:tc>
      </w:tr>
      <w:tr w:rsidR="00BA4EF4" w:rsidRPr="00BA4EF4" w:rsidTr="00BA4EF4">
        <w:tc>
          <w:tcPr>
            <w:tcW w:w="496"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5</w:t>
            </w:r>
          </w:p>
        </w:tc>
        <w:tc>
          <w:tcPr>
            <w:tcW w:w="467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Zawartość frakcji od 2,0 mm do 4,0 mm, wg PN-B-06714-15 [7], % (m/m), nie mniej niż:</w:t>
            </w:r>
          </w:p>
        </w:tc>
        <w:tc>
          <w:tcPr>
            <w:tcW w:w="116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nie</w:t>
            </w:r>
          </w:p>
          <w:p w:rsidR="00BA4EF4" w:rsidRPr="00BA4EF4" w:rsidRDefault="00BA4EF4" w:rsidP="00BA4EF4">
            <w:pPr>
              <w:overflowPunct w:val="0"/>
              <w:autoSpaceDE w:val="0"/>
              <w:autoSpaceDN w:val="0"/>
              <w:adjustRightInd w:val="0"/>
              <w:spacing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bada się</w:t>
            </w:r>
          </w:p>
        </w:tc>
        <w:tc>
          <w:tcPr>
            <w:tcW w:w="1167" w:type="dxa"/>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18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15</w:t>
            </w:r>
          </w:p>
        </w:tc>
      </w:tr>
    </w:tbl>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3. sprzęt</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3.1. Ogólne wymagania dotyczące sprzętu</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wymagania dotyczące sprzętu podano w OST D-05.02.00 „Nawierzchnie twarde nieulepszone. Wymagania ogólne” pkt 3.</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lastRenderedPageBreak/>
        <w:t>3.2. Sprzęt do wykonania nawierzchni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Wykonawca przystępujący do wykonania robót powinien wykazać się możliwością korzystania z następującego sprzętu:</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układarek lub równiarek do rozścielania tłucznia,</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walców statycznych, zwykle o nacisku jednostkowym co najmniej 30 </w:t>
      </w:r>
      <w:proofErr w:type="spellStart"/>
      <w:r w:rsidRPr="00BA4EF4">
        <w:rPr>
          <w:rFonts w:ascii="Times New Roman" w:eastAsia="Times New Roman" w:hAnsi="Times New Roman" w:cs="Times New Roman"/>
          <w:sz w:val="20"/>
          <w:szCs w:val="20"/>
          <w:lang w:eastAsia="pl-PL"/>
        </w:rPr>
        <w:t>kN</w:t>
      </w:r>
      <w:proofErr w:type="spellEnd"/>
      <w:r w:rsidRPr="00BA4EF4">
        <w:rPr>
          <w:rFonts w:ascii="Times New Roman" w:eastAsia="Times New Roman" w:hAnsi="Times New Roman" w:cs="Times New Roman"/>
          <w:sz w:val="20"/>
          <w:szCs w:val="20"/>
          <w:lang w:eastAsia="pl-PL"/>
        </w:rPr>
        <w:t xml:space="preserve">/m, ew. walców wibracyjnych o nacisku jednostkowym wału wibrującego co najmniej 18 </w:t>
      </w:r>
      <w:proofErr w:type="spellStart"/>
      <w:r w:rsidRPr="00BA4EF4">
        <w:rPr>
          <w:rFonts w:ascii="Times New Roman" w:eastAsia="Times New Roman" w:hAnsi="Times New Roman" w:cs="Times New Roman"/>
          <w:sz w:val="20"/>
          <w:szCs w:val="20"/>
          <w:lang w:eastAsia="pl-PL"/>
        </w:rPr>
        <w:t>kN</w:t>
      </w:r>
      <w:proofErr w:type="spellEnd"/>
      <w:r w:rsidRPr="00BA4EF4">
        <w:rPr>
          <w:rFonts w:ascii="Times New Roman" w:eastAsia="Times New Roman" w:hAnsi="Times New Roman" w:cs="Times New Roman"/>
          <w:sz w:val="20"/>
          <w:szCs w:val="20"/>
          <w:lang w:eastAsia="pl-PL"/>
        </w:rPr>
        <w:t xml:space="preserve">/m lub płytowych zagęszczarek wibracyjnych o nacisku jednostkowym co najmniej 16 </w:t>
      </w:r>
      <w:proofErr w:type="spellStart"/>
      <w:r w:rsidRPr="00BA4EF4">
        <w:rPr>
          <w:rFonts w:ascii="Times New Roman" w:eastAsia="Times New Roman" w:hAnsi="Times New Roman" w:cs="Times New Roman"/>
          <w:sz w:val="20"/>
          <w:szCs w:val="20"/>
          <w:lang w:eastAsia="pl-PL"/>
        </w:rPr>
        <w:t>kN</w:t>
      </w:r>
      <w:proofErr w:type="spellEnd"/>
      <w:r w:rsidRPr="00BA4EF4">
        <w:rPr>
          <w:rFonts w:ascii="Times New Roman" w:eastAsia="Times New Roman" w:hAnsi="Times New Roman" w:cs="Times New Roman"/>
          <w:sz w:val="20"/>
          <w:szCs w:val="20"/>
          <w:lang w:eastAsia="pl-PL"/>
        </w:rPr>
        <w:t>/m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 xml:space="preserve">, </w:t>
      </w:r>
    </w:p>
    <w:p w:rsidR="00BA4EF4" w:rsidRPr="00BA4EF4" w:rsidRDefault="00BA4EF4" w:rsidP="00BA4EF4">
      <w:pPr>
        <w:numPr>
          <w:ilvl w:val="0"/>
          <w:numId w:val="1"/>
        </w:numPr>
        <w:overflowPunct w:val="0"/>
        <w:autoSpaceDE w:val="0"/>
        <w:autoSpaceDN w:val="0"/>
        <w:adjustRightInd w:val="0"/>
        <w:spacing w:after="120" w:line="240" w:lineRule="auto"/>
        <w:ind w:left="284" w:hanging="284"/>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przewoźnych zbiorników do wody (beczkowozów) zaopatrzonych w urządzenia do rozpryskiwania wody oraz pomp do napełniania beczkowozów wodą.</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4. transport</w:t>
      </w:r>
    </w:p>
    <w:p w:rsidR="00BA4EF4" w:rsidRPr="00BA4EF4" w:rsidRDefault="00BA4EF4" w:rsidP="00BA4EF4">
      <w:pPr>
        <w:overflowPunct w:val="0"/>
        <w:autoSpaceDE w:val="0"/>
        <w:autoSpaceDN w:val="0"/>
        <w:adjustRightInd w:val="0"/>
        <w:spacing w:after="120" w:line="240" w:lineRule="auto"/>
        <w:ind w:firstLine="709"/>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Ogólne wymagania dotyczące transportu podano w OST D-05.02.00 „Nawierzchnie twarde nieulepszone. Wymagania ogólne” pkt 4.</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5. wykonanie robót</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5.1. Ogólne zasady wykonania robót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zasady wykonania robót podano w OST D-05.02.00 „Nawierzchnie twarde nieulepszone. Wymagania ogólne” pkt 5.</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5.2. Przygotowanie podłoża</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Podłoże pod nawierzchnię tłuczniową powinno być przygotowane zgodnie z warunkami ogólnymi określonymi w OST D-05.02.00 „Nawierzchnie twarde nieulepszone. Wymagania ogólne” pkt 5.2.</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 xml:space="preserve">Nawierzchnia tłuczniowa powinna być ułożona na podłożu zapewniającym nieprzenikanie drobnych cząstek gruntu do warstwy nawierzchni. Na gruncie spoistym, pod nawierzchnią tłuczniową powinna być ułożona warstwa odcinająca albo warstwa </w:t>
      </w:r>
      <w:proofErr w:type="spellStart"/>
      <w:r w:rsidRPr="00BA4EF4">
        <w:rPr>
          <w:rFonts w:ascii="Times New Roman" w:eastAsia="Times New Roman" w:hAnsi="Times New Roman" w:cs="Times New Roman"/>
          <w:sz w:val="20"/>
          <w:szCs w:val="20"/>
          <w:lang w:eastAsia="pl-PL"/>
        </w:rPr>
        <w:t>geotekstyliów</w:t>
      </w:r>
      <w:proofErr w:type="spellEnd"/>
      <w:r w:rsidRPr="00BA4EF4">
        <w:rPr>
          <w:rFonts w:ascii="Times New Roman" w:eastAsia="Times New Roman" w:hAnsi="Times New Roman" w:cs="Times New Roman"/>
          <w:sz w:val="20"/>
          <w:szCs w:val="20"/>
          <w:lang w:eastAsia="pl-PL"/>
        </w:rPr>
        <w: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 przypadku zastosowania pomiędzy warstwą nawierzchni tłuczniowej a spoistym gruntem podłoża warstwy odcinającej, powinien być spełniony warunek nieprzenikania cząstek drobnych, wyrażony wzorem:</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r>
      <w:r w:rsidRPr="00BA4EF4">
        <w:rPr>
          <w:rFonts w:ascii="Times New Roman" w:eastAsia="Times New Roman" w:hAnsi="Times New Roman" w:cs="Times New Roman"/>
          <w:sz w:val="20"/>
          <w:szCs w:val="20"/>
          <w:lang w:eastAsia="pl-PL"/>
        </w:rPr>
        <w:tab/>
      </w:r>
      <w:r w:rsidRPr="00BA4EF4">
        <w:rPr>
          <w:rFonts w:ascii="Times New Roman" w:eastAsia="Times New Roman" w:hAnsi="Times New Roman" w:cs="Times New Roman"/>
          <w:sz w:val="20"/>
          <w:szCs w:val="20"/>
          <w:lang w:eastAsia="pl-PL"/>
        </w:rPr>
        <w:tab/>
      </w:r>
      <w:r w:rsidRPr="00BA4EF4">
        <w:rPr>
          <w:rFonts w:ascii="Times New Roman" w:eastAsia="Times New Roman" w:hAnsi="Times New Roman" w:cs="Times New Roman"/>
          <w:sz w:val="20"/>
          <w:szCs w:val="20"/>
          <w:lang w:eastAsia="pl-PL"/>
        </w:rPr>
        <w:tab/>
      </w:r>
      <w:r w:rsidRPr="00BA4EF4">
        <w:rPr>
          <w:rFonts w:ascii="Times New Roman" w:eastAsia="Times New Roman" w:hAnsi="Times New Roman" w:cs="Times New Roman"/>
          <w:sz w:val="20"/>
          <w:szCs w:val="20"/>
          <w:lang w:eastAsia="pl-PL"/>
        </w:rPr>
        <w:tab/>
        <w:t xml:space="preserve">  </w:t>
      </w:r>
      <w:r w:rsidRPr="00BA4EF4">
        <w:rPr>
          <w:rFonts w:ascii="Times New Roman" w:eastAsia="Times New Roman" w:hAnsi="Times New Roman" w:cs="Times New Roman"/>
          <w:position w:val="-34"/>
          <w:sz w:val="20"/>
          <w:szCs w:val="20"/>
          <w:lang w:eastAsia="pl-PL"/>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6pt" o:ole="">
            <v:imagedata r:id="rId6" o:title=""/>
          </v:shape>
          <o:OLEObject Type="Embed" ProgID="Equation.2" ShapeID="_x0000_i1025" DrawAspect="Content" ObjectID="_1694328854" r:id="rId7"/>
        </w:objec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gdzie:</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D</w:t>
      </w:r>
      <w:r w:rsidRPr="00BA4EF4">
        <w:rPr>
          <w:rFonts w:ascii="Times New Roman" w:eastAsia="Times New Roman" w:hAnsi="Times New Roman" w:cs="Times New Roman"/>
          <w:sz w:val="20"/>
          <w:szCs w:val="20"/>
          <w:vertAlign w:val="subscript"/>
          <w:lang w:eastAsia="pl-PL"/>
        </w:rPr>
        <w:t>15</w:t>
      </w:r>
      <w:r w:rsidRPr="00BA4EF4">
        <w:rPr>
          <w:rFonts w:ascii="Times New Roman" w:eastAsia="Times New Roman" w:hAnsi="Times New Roman" w:cs="Times New Roman"/>
          <w:sz w:val="20"/>
          <w:szCs w:val="20"/>
          <w:lang w:eastAsia="pl-PL"/>
        </w:rPr>
        <w:t xml:space="preserve"> - wymiar sita, przez które przechodzi 15%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warstwy odcinającej,</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D</w:t>
      </w:r>
      <w:r w:rsidRPr="00BA4EF4">
        <w:rPr>
          <w:rFonts w:ascii="Times New Roman" w:eastAsia="Times New Roman" w:hAnsi="Times New Roman" w:cs="Times New Roman"/>
          <w:sz w:val="20"/>
          <w:szCs w:val="20"/>
          <w:vertAlign w:val="subscript"/>
          <w:lang w:eastAsia="pl-PL"/>
        </w:rPr>
        <w:t>85</w:t>
      </w:r>
      <w:r w:rsidRPr="00BA4EF4">
        <w:rPr>
          <w:rFonts w:ascii="Times New Roman" w:eastAsia="Times New Roman" w:hAnsi="Times New Roman" w:cs="Times New Roman"/>
          <w:sz w:val="20"/>
          <w:szCs w:val="20"/>
          <w:lang w:eastAsia="pl-PL"/>
        </w:rPr>
        <w:t xml:space="preserve"> - wymiar sita, przez które przechodzi 85%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gruntu podłoża.</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r>
      <w:proofErr w:type="spellStart"/>
      <w:r w:rsidRPr="00BA4EF4">
        <w:rPr>
          <w:rFonts w:ascii="Times New Roman" w:eastAsia="Times New Roman" w:hAnsi="Times New Roman" w:cs="Times New Roman"/>
          <w:sz w:val="20"/>
          <w:szCs w:val="20"/>
          <w:lang w:eastAsia="pl-PL"/>
        </w:rPr>
        <w:t>Geotekstylia</w:t>
      </w:r>
      <w:proofErr w:type="spellEnd"/>
      <w:r w:rsidRPr="00BA4EF4">
        <w:rPr>
          <w:rFonts w:ascii="Times New Roman" w:eastAsia="Times New Roman" w:hAnsi="Times New Roman" w:cs="Times New Roman"/>
          <w:sz w:val="20"/>
          <w:szCs w:val="20"/>
          <w:lang w:eastAsia="pl-PL"/>
        </w:rPr>
        <w:t xml:space="preserve"> przewidziane do użycia pod nawierzchnię tłuczniową powinny posiadać aprobatę techniczną wydaną przez uprawnioną jednostkę. W szczególności wymagana jest odpowiednia wytrzymałość mechaniczna </w:t>
      </w:r>
      <w:proofErr w:type="spellStart"/>
      <w:r w:rsidRPr="00BA4EF4">
        <w:rPr>
          <w:rFonts w:ascii="Times New Roman" w:eastAsia="Times New Roman" w:hAnsi="Times New Roman" w:cs="Times New Roman"/>
          <w:sz w:val="20"/>
          <w:szCs w:val="20"/>
          <w:lang w:eastAsia="pl-PL"/>
        </w:rPr>
        <w:t>geotekstyliów</w:t>
      </w:r>
      <w:proofErr w:type="spellEnd"/>
      <w:r w:rsidRPr="00BA4EF4">
        <w:rPr>
          <w:rFonts w:ascii="Times New Roman" w:eastAsia="Times New Roman" w:hAnsi="Times New Roman" w:cs="Times New Roman"/>
          <w:sz w:val="20"/>
          <w:szCs w:val="20"/>
          <w:lang w:eastAsia="pl-PL"/>
        </w:rPr>
        <w:t>, uniemożliwiająca ich przebicie przez ziarna tłucznia oraz odpowiednie właściwości filtracyjne, dostosowane do uziarnienia podłoża gruntowego.</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5.3. Odcinek próbny</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Jeżeli w SST przewidziano konieczność wykonania odcinka próbnego, to co najmniej na 3 dni przed rozpoczęciem robót Wykonawca powinien wykonać odcinek próbny w celu:</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stwierdzenia, czy sprzęt stosowany przy rozkładaniu i zagęszczaniu jest właściwy,</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określenia grubości warstwy w stanie luźnym, koniecznej do uzyskania wymaganej grubości warstwy zagęszczonej,</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ustalenia liczby przejść sprzętu zagęszczającego, koniecznej do uzyskania wymaganego zagęszczenia warstwy.</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Na odcinku próbnym Wykonawca powinien użyć takich materiałów oraz sprzętu, jakie będą stosowane do wykonywania nawierzchni.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Powierzchnia odcinka próbnego powinna wynosić od 400 do 800 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 a długość nie powinna być mniejsza niż 200 m.</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Odcinek próbny powinien być zlokalizowany w miejscu wskazanym przez Inżyniera.</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Wykonawca może przystąpić do wykonywania nawierzchni po zaakceptowaniu odcinka próbnego przez Inżyniera.</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5.4. Wbudowanie i zagęszczanie kruszywa</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Minimalna grubość warstwy nawierzchni tłuczniowej nie może być po zagęszczeniu mniejsza od 7 cm.</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Maksymalna grubość warstwy nawierzchni po zagęszczeniu nie może przekraczać 20 cm. Nawierzchnię o grubości powyżej 20 cm należy wykonywać w dwóch warstwach.</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lastRenderedPageBreak/>
        <w:tab/>
        <w:t>Kruszywo grube powinno być rozkładane w warstwie o jednakowej grubości, przy użyciu układarki albo równiarki. Grubość rozłożonej warstwy luźnego kruszywa powinna być taka, aby po jej zagęszczeniu i zaklinowaniu osiągnięto grubość projektowaną.</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 xml:space="preserve">Kruszywo grube po rozłożeniu powinno być zagęszczane przejściami walca statycznego gładkiego, o nacisku jednostkowym nie mniejszym niż 30 </w:t>
      </w:r>
      <w:proofErr w:type="spellStart"/>
      <w:r w:rsidRPr="00BA4EF4">
        <w:rPr>
          <w:rFonts w:ascii="Times New Roman" w:eastAsia="Times New Roman" w:hAnsi="Times New Roman" w:cs="Times New Roman"/>
          <w:sz w:val="20"/>
          <w:szCs w:val="20"/>
          <w:lang w:eastAsia="pl-PL"/>
        </w:rPr>
        <w:t>kN</w:t>
      </w:r>
      <w:proofErr w:type="spellEnd"/>
      <w:r w:rsidRPr="00BA4EF4">
        <w:rPr>
          <w:rFonts w:ascii="Times New Roman" w:eastAsia="Times New Roman" w:hAnsi="Times New Roman" w:cs="Times New Roman"/>
          <w:sz w:val="20"/>
          <w:szCs w:val="20"/>
          <w:lang w:eastAsia="pl-PL"/>
        </w:rPr>
        <w:t>/m. Zagęszczenie nawierzchni o przekroju daszkowym powinno rozpocząć się od krawędzi i stopniowo przesuwać pasami podłużnymi, częściowo nakładającymi się, w kierunku jej osi. Zagęszczanie nawierzchni o jednostronnym spadku poprzecznym powinno rozpocząć się od dolnej krawędzi i przesuwać pasami podłużnymi, częściowo nakładającymi się, w kierunku jej górnej krawędzi. Dobór walca gładkiego w zależności od twardości tłucznia, można przyjmować według tablicy 4.</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Tablica 4. Dobór walca gładkiego w zależności od twardości tłucznia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181"/>
        <w:gridCol w:w="3329"/>
      </w:tblGrid>
      <w:tr w:rsidR="00BA4EF4" w:rsidRPr="00BA4EF4" w:rsidTr="00BA4EF4">
        <w:tc>
          <w:tcPr>
            <w:tcW w:w="4181"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Twardość i wytrzymałość na ściskanie skały,</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 której wykonano tłuczeń</w:t>
            </w:r>
          </w:p>
        </w:tc>
        <w:tc>
          <w:tcPr>
            <w:tcW w:w="3329" w:type="dxa"/>
            <w:tcBorders>
              <w:top w:val="single" w:sz="6" w:space="0" w:color="auto"/>
              <w:left w:val="single" w:sz="6" w:space="0" w:color="auto"/>
              <w:bottom w:val="double" w:sz="6" w:space="0" w:color="auto"/>
              <w:right w:val="single" w:sz="6" w:space="0" w:color="auto"/>
            </w:tcBorders>
            <w:hideMark/>
          </w:tcPr>
          <w:p w:rsidR="00BA4EF4" w:rsidRPr="00BA4EF4" w:rsidRDefault="00BA4EF4" w:rsidP="00BA4EF4">
            <w:pPr>
              <w:overflowPunct w:val="0"/>
              <w:autoSpaceDE w:val="0"/>
              <w:autoSpaceDN w:val="0"/>
              <w:adjustRightInd w:val="0"/>
              <w:spacing w:before="60"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Dopuszczalny nacisk </w:t>
            </w:r>
            <w:proofErr w:type="spellStart"/>
            <w:r w:rsidRPr="00BA4EF4">
              <w:rPr>
                <w:rFonts w:ascii="Times New Roman" w:eastAsia="Times New Roman" w:hAnsi="Times New Roman" w:cs="Times New Roman"/>
                <w:sz w:val="20"/>
                <w:szCs w:val="20"/>
                <w:lang w:eastAsia="pl-PL"/>
              </w:rPr>
              <w:t>kN</w:t>
            </w:r>
            <w:proofErr w:type="spellEnd"/>
            <w:r w:rsidRPr="00BA4EF4">
              <w:rPr>
                <w:rFonts w:ascii="Times New Roman" w:eastAsia="Times New Roman" w:hAnsi="Times New Roman" w:cs="Times New Roman"/>
                <w:sz w:val="20"/>
                <w:szCs w:val="20"/>
                <w:lang w:eastAsia="pl-PL"/>
              </w:rPr>
              <w:t>/m            szerokości tylnych kół walca</w:t>
            </w:r>
          </w:p>
        </w:tc>
      </w:tr>
      <w:tr w:rsidR="00BA4EF4" w:rsidRPr="00BA4EF4" w:rsidTr="00BA4EF4">
        <w:tc>
          <w:tcPr>
            <w:tcW w:w="4181"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Miękka, od 30 do 60 </w:t>
            </w:r>
            <w:proofErr w:type="spellStart"/>
            <w:r w:rsidRPr="00BA4EF4">
              <w:rPr>
                <w:rFonts w:ascii="Times New Roman" w:eastAsia="Times New Roman" w:hAnsi="Times New Roman" w:cs="Times New Roman"/>
                <w:sz w:val="20"/>
                <w:szCs w:val="20"/>
                <w:lang w:eastAsia="pl-PL"/>
              </w:rPr>
              <w:t>MPa</w:t>
            </w:r>
            <w:proofErr w:type="spellEnd"/>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roofErr w:type="spellStart"/>
            <w:r w:rsidRPr="00BA4EF4">
              <w:rPr>
                <w:rFonts w:ascii="Times New Roman" w:eastAsia="Times New Roman" w:hAnsi="Times New Roman" w:cs="Times New Roman"/>
                <w:sz w:val="20"/>
                <w:szCs w:val="20"/>
                <w:lang w:eastAsia="pl-PL"/>
              </w:rPr>
              <w:t>Średniotwarda</w:t>
            </w:r>
            <w:proofErr w:type="spellEnd"/>
            <w:r w:rsidRPr="00BA4EF4">
              <w:rPr>
                <w:rFonts w:ascii="Times New Roman" w:eastAsia="Times New Roman" w:hAnsi="Times New Roman" w:cs="Times New Roman"/>
                <w:sz w:val="20"/>
                <w:szCs w:val="20"/>
                <w:lang w:eastAsia="pl-PL"/>
              </w:rPr>
              <w:t xml:space="preserve">, od 60 do 100 </w:t>
            </w:r>
            <w:proofErr w:type="spellStart"/>
            <w:r w:rsidRPr="00BA4EF4">
              <w:rPr>
                <w:rFonts w:ascii="Times New Roman" w:eastAsia="Times New Roman" w:hAnsi="Times New Roman" w:cs="Times New Roman"/>
                <w:sz w:val="20"/>
                <w:szCs w:val="20"/>
                <w:lang w:eastAsia="pl-PL"/>
              </w:rPr>
              <w:t>MPa</w:t>
            </w:r>
            <w:proofErr w:type="spellEnd"/>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Twarda, od 100 do 200 </w:t>
            </w:r>
            <w:proofErr w:type="spellStart"/>
            <w:r w:rsidRPr="00BA4EF4">
              <w:rPr>
                <w:rFonts w:ascii="Times New Roman" w:eastAsia="Times New Roman" w:hAnsi="Times New Roman" w:cs="Times New Roman"/>
                <w:sz w:val="20"/>
                <w:szCs w:val="20"/>
                <w:lang w:eastAsia="pl-PL"/>
              </w:rPr>
              <w:t>MPa</w:t>
            </w:r>
            <w:proofErr w:type="spellEnd"/>
          </w:p>
          <w:p w:rsidR="00BA4EF4" w:rsidRPr="00BA4EF4" w:rsidRDefault="00BA4EF4" w:rsidP="00BA4EF4">
            <w:pPr>
              <w:overflowPunct w:val="0"/>
              <w:autoSpaceDE w:val="0"/>
              <w:autoSpaceDN w:val="0"/>
              <w:adjustRightInd w:val="0"/>
              <w:spacing w:after="6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Bardzo twarda, ponad 200 </w:t>
            </w:r>
            <w:proofErr w:type="spellStart"/>
            <w:r w:rsidRPr="00BA4EF4">
              <w:rPr>
                <w:rFonts w:ascii="Times New Roman" w:eastAsia="Times New Roman" w:hAnsi="Times New Roman" w:cs="Times New Roman"/>
                <w:sz w:val="20"/>
                <w:szCs w:val="20"/>
                <w:lang w:eastAsia="pl-PL"/>
              </w:rPr>
              <w:t>MPa</w:t>
            </w:r>
            <w:proofErr w:type="spellEnd"/>
          </w:p>
        </w:tc>
        <w:tc>
          <w:tcPr>
            <w:tcW w:w="3329" w:type="dxa"/>
            <w:tcBorders>
              <w:top w:val="nil"/>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od 55 do 70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od 65 do 80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od 75 do 100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od 90 do 120</w:t>
            </w:r>
          </w:p>
        </w:tc>
      </w:tr>
    </w:tbl>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Zagęszczanie można zakończyć, gdy przed kołami walca przestają się tworzyć fale, a ziarno tłucznia o wymiarze około 40 mm pod naciskiem koła walca nie wtłacza się w nawierzchnię, lecz miażdży się na niej.</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Po zagęszczeniu warstwy kruszywa grubego należy zaklinować ją poprzez stopniowe rozsypywanie klińca od 4 do 20 mm i mieszanki drobnej granulowanej od 0,075 do 4 mm przy ciągłym zagęszczaniu walcem statycznym gładkim.</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Warstwy dolnej (o ile układa się na niej od razu warstwę górną) nie klinuje się, gdyż niecałkowicie wypełnione przestrzenie między ziarnami tłucznia powodują lepsze związanie obu warstw ze sobą. Natomiast górną warstwę należy klinować tak  długo, dopóki wszystkie przestrzenie nie zostaną wypełnione klińcem.</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 czasie zagęszczania walcem gładkim zaleca się skrapiać kruszywo wodą tak często, aby było stale wilgotne, co powoduje, że kruszywo mniej się kruszy, mniej wyokrągla i łatwiej układa szczelnie pod walcem.</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Zagęszczenie można uważać za zakończone, jeśli nie pojawiają się ślady po walcach i wybrzuszenia warstwy kruszywa przed wałami.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 xml:space="preserve">Jeśli dokumentacja projektowa, SST lub Inżynier przewiduje zamulenie górnej warstwy nawierzchni, to należy rozsypać cienką warstwę miału (lub ew. piasku), obficie skropić go wodą i wcierać, w zaklinowaną warstwę tłucznia, wytworzoną papkę szczotkami z </w:t>
      </w:r>
      <w:proofErr w:type="spellStart"/>
      <w:r w:rsidRPr="00BA4EF4">
        <w:rPr>
          <w:rFonts w:ascii="Times New Roman" w:eastAsia="Times New Roman" w:hAnsi="Times New Roman" w:cs="Times New Roman"/>
          <w:sz w:val="20"/>
          <w:szCs w:val="20"/>
          <w:lang w:eastAsia="pl-PL"/>
        </w:rPr>
        <w:t>piasawy</w:t>
      </w:r>
      <w:proofErr w:type="spellEnd"/>
      <w:r w:rsidRPr="00BA4EF4">
        <w:rPr>
          <w:rFonts w:ascii="Times New Roman" w:eastAsia="Times New Roman" w:hAnsi="Times New Roman" w:cs="Times New Roman"/>
          <w:sz w:val="20"/>
          <w:szCs w:val="20"/>
          <w:lang w:eastAsia="pl-PL"/>
        </w:rPr>
        <w:t xml:space="preserve">. W trakcie zamulania należy przepuścić kilka razy walec na szybkim biegu transportowym, aby papka została wessana w głąb warstwy. Wały walca należy obficie polewać wodą, w celu uniknięcia przyklejania do nich papki,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klińca i tłucznia. Zamulanie jest zakończone, gdy papka przestanie przenikać w głąb warstwy.</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Jeśli nie wykonuje się zamulenia nawierzchni, to do klinowania kruszywa grubego należy dodawać również miał.</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 xml:space="preserve">W przypadku zagęszczania kruszywa sprzętem wibracyjnym (walcami wibracyjnymi o nacisku jednostkowym wału wibrującego co najmniej 18 </w:t>
      </w:r>
      <w:proofErr w:type="spellStart"/>
      <w:r w:rsidRPr="00BA4EF4">
        <w:rPr>
          <w:rFonts w:ascii="Times New Roman" w:eastAsia="Times New Roman" w:hAnsi="Times New Roman" w:cs="Times New Roman"/>
          <w:sz w:val="20"/>
          <w:szCs w:val="20"/>
          <w:lang w:eastAsia="pl-PL"/>
        </w:rPr>
        <w:t>kN</w:t>
      </w:r>
      <w:proofErr w:type="spellEnd"/>
      <w:r w:rsidRPr="00BA4EF4">
        <w:rPr>
          <w:rFonts w:ascii="Times New Roman" w:eastAsia="Times New Roman" w:hAnsi="Times New Roman" w:cs="Times New Roman"/>
          <w:sz w:val="20"/>
          <w:szCs w:val="20"/>
          <w:lang w:eastAsia="pl-PL"/>
        </w:rPr>
        <w:t xml:space="preserve">/m lub płytowymi zagęszczarkami wibracyjnymi o nacisku jednostkowym co najmniej 16 </w:t>
      </w:r>
      <w:proofErr w:type="spellStart"/>
      <w:r w:rsidRPr="00BA4EF4">
        <w:rPr>
          <w:rFonts w:ascii="Times New Roman" w:eastAsia="Times New Roman" w:hAnsi="Times New Roman" w:cs="Times New Roman"/>
          <w:sz w:val="20"/>
          <w:szCs w:val="20"/>
          <w:lang w:eastAsia="pl-PL"/>
        </w:rPr>
        <w:t>kN</w:t>
      </w:r>
      <w:proofErr w:type="spellEnd"/>
      <w:r w:rsidRPr="00BA4EF4">
        <w:rPr>
          <w:rFonts w:ascii="Times New Roman" w:eastAsia="Times New Roman" w:hAnsi="Times New Roman" w:cs="Times New Roman"/>
          <w:sz w:val="20"/>
          <w:szCs w:val="20"/>
          <w:lang w:eastAsia="pl-PL"/>
        </w:rPr>
        <w:t>/m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 zagęszczenie należy przeprowadzać według zasad podanych dla walców gładkich, lecz bez skrapiania kruszywa wodą. Liczbę przejść sprzętu wibracyjnego zaleca się ustalić na odcinku próbnym.</w:t>
      </w:r>
    </w:p>
    <w:p w:rsidR="00BA4EF4" w:rsidRPr="00BA4EF4" w:rsidRDefault="00BA4EF4" w:rsidP="00BA4EF4">
      <w:pPr>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 pierwszych dniach po wykonaniu nawierzchni należy dbać, aby była ona stale wilgotna. Nawierzchnia, jeśli nie była zagęszczana urządzeniami wibracyjnymi, powinna być równomiernie zajeżdżana (dogęszczona) przez samochody na całej jej szerokości w okresie od 2 do 6 tygodni, w związku z czym zaleca się przekładanie ruchu na różne pasy przez odpowiednie ustawianie zastaw.</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6. kontrola jakości robót</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6.1. Ogólne zasady kontroli jakości robót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zasady kontroli jakości robót podano w OST D-05.02.00 „Nawierzchnie twarde nieulepszone. Wymagania ogólne” pkt 6.</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lastRenderedPageBreak/>
        <w:t>6.2. Badania przed przystąpieniem do robót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Przed przystąpieniem do robót Wykonawca powinien wykonać badania kruszyw przeznaczonych do wykonania robót i przedstawić wyniki tych badań Inżynierowi do akceptacji. Badania te powinny obejmować wszystkie właściwości kruszywa określone w             p. 2.3 niniejszej specyfikacji.</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6.3. Badania w czasie robót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 czasie robót przy budowie nawierzchni tłuczniowej należy kontrolować z częstotliwością podaną poniżej, następujące właściwości:</w:t>
      </w:r>
    </w:p>
    <w:p w:rsidR="00BA4EF4" w:rsidRPr="00BA4EF4" w:rsidRDefault="00BA4EF4" w:rsidP="00BA4EF4">
      <w:pPr>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uziarnienie kruszywa, zawartość zanieczyszczeń obcych w kruszywie i zawartość </w:t>
      </w:r>
      <w:proofErr w:type="spellStart"/>
      <w:r w:rsidRPr="00BA4EF4">
        <w:rPr>
          <w:rFonts w:ascii="Times New Roman" w:eastAsia="Times New Roman" w:hAnsi="Times New Roman" w:cs="Times New Roman"/>
          <w:sz w:val="20"/>
          <w:szCs w:val="20"/>
          <w:lang w:eastAsia="pl-PL"/>
        </w:rPr>
        <w:t>ziarn</w:t>
      </w:r>
      <w:proofErr w:type="spellEnd"/>
      <w:r w:rsidRPr="00BA4EF4">
        <w:rPr>
          <w:rFonts w:ascii="Times New Roman" w:eastAsia="Times New Roman" w:hAnsi="Times New Roman" w:cs="Times New Roman"/>
          <w:sz w:val="20"/>
          <w:szCs w:val="20"/>
          <w:lang w:eastAsia="pl-PL"/>
        </w:rPr>
        <w:t xml:space="preserve"> nieforemnych w kruszywie - co najmniej 1 raz na dziennej działce roboczej z tym, że maksymalna powierzchnia nawierzchni przypadająca na jedno badanie powinna wynosić 600 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w:t>
      </w:r>
    </w:p>
    <w:p w:rsidR="00BA4EF4" w:rsidRPr="00BA4EF4" w:rsidRDefault="00BA4EF4" w:rsidP="00BA4EF4">
      <w:pPr>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ścieralność kruszywa, nasiąkliwość kruszywa, odporność kruszywa na działanie mrozu - przy każdej zmianie źródła pobierania materiałów.</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Próbki należy pobierać w sposób losowy z rozłożonej warstwy, przed jej zagęszczeniem. Wyniki badań powinny być na bieżąco przekazywane Inżynierowi.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Badania pełne kruszywa, obejmujące ocenę wszystkich właściwości określonych w p. 2.3 powinny być wykonane przez Wykonawcę z częstotliwością gwarantującą zachowanie jakości robót i zawsze w przypadku zmiany źródła pobierania materiałów oraz na polecenie Inżyniera. Próbki do badań pełnych powinny być pobierane przez Wykonawcę w sposób losowy w obecności Inżyniera.</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6.4. Badania i pomiary cech geometrycznych nawierzchni tłuczniowej</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Grubość warstwy Wykonawca powinien mierzyć natychmiast po jej zagęszczeniu, co najmniej w dwóch losowo wybranych punktach na każdej dziennej działce roboczej i nie rzadziej niż w jednym punkcie na 400 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 xml:space="preserve"> nawierzchni.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 xml:space="preserve">Dopuszczalne odchyłki od projektowanej grubości nawierzchni nie powinny przekraczać </w:t>
      </w:r>
      <w:r w:rsidRPr="00BA4EF4">
        <w:rPr>
          <w:rFonts w:ascii="Times New Roman" w:eastAsia="Times New Roman" w:hAnsi="Times New Roman" w:cs="Times New Roman"/>
          <w:sz w:val="20"/>
          <w:szCs w:val="20"/>
          <w:lang w:eastAsia="pl-PL"/>
        </w:rPr>
        <w:sym w:font="Symbol" w:char="F0B1"/>
      </w:r>
      <w:r w:rsidRPr="00BA4EF4">
        <w:rPr>
          <w:rFonts w:ascii="Times New Roman" w:eastAsia="Times New Roman" w:hAnsi="Times New Roman" w:cs="Times New Roman"/>
          <w:sz w:val="20"/>
          <w:szCs w:val="20"/>
          <w:lang w:eastAsia="pl-PL"/>
        </w:rPr>
        <w:t xml:space="preserve"> 10%.</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Pozostałe cechy geometryczne nawierzchni powinny być mierzone i oceniane według zasad podanych w p. 6.2 OST D-05.02.00 „Nawierzchnie twarde nieulepszone. Wymagania ogólne”.</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6.5. Pomiar nośności nawierzchni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Pomiary nośności nawierzchni tłuczniowej należy wykonać płytą o średnicy 30 cm, zgodnie z BN-64/8931-02 [23]. Pomiar należy wykonać nie rzadziej niż raz na 3000 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 lub według zaleceń Inżyniera.</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Nawierzchnia tłuczniowa powinna spełniać wymagania dotyczące nośności podane w tablicy 5.</w:t>
      </w:r>
    </w:p>
    <w:p w:rsidR="00BA4EF4" w:rsidRPr="00BA4EF4" w:rsidRDefault="00BA4EF4" w:rsidP="00BA4EF4">
      <w:pPr>
        <w:overflowPunct w:val="0"/>
        <w:autoSpaceDE w:val="0"/>
        <w:autoSpaceDN w:val="0"/>
        <w:adjustRightInd w:val="0"/>
        <w:spacing w:before="120"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Tablica 5. Wymagana nośność nawierzchni tłuczniowej</w:t>
      </w:r>
    </w:p>
    <w:tbl>
      <w:tblPr>
        <w:tblW w:w="0" w:type="auto"/>
        <w:tblLayout w:type="fixed"/>
        <w:tblCellMar>
          <w:left w:w="70" w:type="dxa"/>
          <w:right w:w="70" w:type="dxa"/>
        </w:tblCellMar>
        <w:tblLook w:val="04A0" w:firstRow="1" w:lastRow="0" w:firstColumn="1" w:lastColumn="0" w:noHBand="0" w:noVBand="1"/>
      </w:tblPr>
      <w:tblGrid>
        <w:gridCol w:w="3472"/>
        <w:gridCol w:w="2019"/>
        <w:gridCol w:w="2019"/>
      </w:tblGrid>
      <w:tr w:rsidR="00BA4EF4" w:rsidRPr="00BA4EF4" w:rsidTr="00BA4EF4">
        <w:tc>
          <w:tcPr>
            <w:tcW w:w="3472" w:type="dxa"/>
            <w:tcBorders>
              <w:top w:val="single" w:sz="6" w:space="0" w:color="auto"/>
              <w:left w:val="single" w:sz="6" w:space="0" w:color="auto"/>
              <w:bottom w:val="nil"/>
              <w:right w:val="nil"/>
            </w:tcBorders>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Kategoria ruchu</w:t>
            </w:r>
          </w:p>
        </w:tc>
        <w:tc>
          <w:tcPr>
            <w:tcW w:w="4038" w:type="dxa"/>
            <w:gridSpan w:val="2"/>
            <w:tcBorders>
              <w:top w:val="sing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 xml:space="preserve">Minimalny moduł odkształcenia mierzony przy użyciu płyty o średnicy 30 cm,    </w:t>
            </w:r>
            <w:proofErr w:type="spellStart"/>
            <w:r w:rsidRPr="00BA4EF4">
              <w:rPr>
                <w:rFonts w:ascii="Times New Roman" w:eastAsia="Times New Roman" w:hAnsi="Times New Roman" w:cs="Times New Roman"/>
                <w:sz w:val="20"/>
                <w:szCs w:val="20"/>
                <w:lang w:eastAsia="pl-PL"/>
              </w:rPr>
              <w:t>MPa</w:t>
            </w:r>
            <w:proofErr w:type="spellEnd"/>
          </w:p>
        </w:tc>
      </w:tr>
      <w:tr w:rsidR="00BA4EF4" w:rsidRPr="00BA4EF4" w:rsidTr="00BA4EF4">
        <w:tc>
          <w:tcPr>
            <w:tcW w:w="3472" w:type="dxa"/>
            <w:tcBorders>
              <w:top w:val="nil"/>
              <w:left w:val="single" w:sz="6" w:space="0" w:color="auto"/>
              <w:bottom w:val="nil"/>
              <w:right w:val="nil"/>
            </w:tcBorders>
          </w:tcPr>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tc>
        <w:tc>
          <w:tcPr>
            <w:tcW w:w="2019" w:type="dxa"/>
            <w:tcBorders>
              <w:top w:val="single" w:sz="6" w:space="0" w:color="auto"/>
              <w:left w:val="single" w:sz="6" w:space="0" w:color="auto"/>
              <w:bottom w:val="nil"/>
              <w:right w:val="single" w:sz="6" w:space="0" w:color="auto"/>
            </w:tcBorders>
            <w:hideMark/>
          </w:tcPr>
          <w:p w:rsidR="00BA4EF4" w:rsidRPr="00BA4EF4" w:rsidRDefault="00BA4EF4" w:rsidP="00BA4EF4">
            <w:pPr>
              <w:overflowPunct w:val="0"/>
              <w:autoSpaceDE w:val="0"/>
              <w:autoSpaceDN w:val="0"/>
              <w:adjustRightInd w:val="0"/>
              <w:spacing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pierwotny</w:t>
            </w:r>
          </w:p>
        </w:tc>
        <w:tc>
          <w:tcPr>
            <w:tcW w:w="2019" w:type="dxa"/>
            <w:tcBorders>
              <w:top w:val="single" w:sz="6" w:space="0" w:color="auto"/>
              <w:left w:val="single" w:sz="6" w:space="0" w:color="auto"/>
              <w:bottom w:val="nil"/>
              <w:right w:val="single" w:sz="6" w:space="0" w:color="auto"/>
            </w:tcBorders>
            <w:hideMark/>
          </w:tcPr>
          <w:p w:rsidR="00BA4EF4" w:rsidRPr="00BA4EF4" w:rsidRDefault="00BA4EF4" w:rsidP="00BA4EF4">
            <w:pPr>
              <w:overflowPunct w:val="0"/>
              <w:autoSpaceDE w:val="0"/>
              <w:autoSpaceDN w:val="0"/>
              <w:adjustRightInd w:val="0"/>
              <w:spacing w:after="6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wtórny</w:t>
            </w:r>
          </w:p>
        </w:tc>
      </w:tr>
      <w:tr w:rsidR="00BA4EF4" w:rsidRPr="00BA4EF4" w:rsidTr="00BA4EF4">
        <w:tc>
          <w:tcPr>
            <w:tcW w:w="3472" w:type="dxa"/>
            <w:tcBorders>
              <w:top w:val="doub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Ruch bardzo lekki i lekki</w:t>
            </w:r>
          </w:p>
          <w:p w:rsidR="00BA4EF4" w:rsidRPr="00BA4EF4" w:rsidRDefault="00BA4EF4" w:rsidP="00BA4EF4">
            <w:pPr>
              <w:overflowPunct w:val="0"/>
              <w:autoSpaceDE w:val="0"/>
              <w:autoSpaceDN w:val="0"/>
              <w:adjustRightInd w:val="0"/>
              <w:spacing w:after="6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Ruch lekkośredni i średni</w:t>
            </w:r>
          </w:p>
        </w:tc>
        <w:tc>
          <w:tcPr>
            <w:tcW w:w="2019" w:type="dxa"/>
            <w:tcBorders>
              <w:top w:val="doub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100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100</w:t>
            </w:r>
          </w:p>
        </w:tc>
        <w:tc>
          <w:tcPr>
            <w:tcW w:w="2019" w:type="dxa"/>
            <w:tcBorders>
              <w:top w:val="double" w:sz="6" w:space="0" w:color="auto"/>
              <w:left w:val="single" w:sz="6" w:space="0" w:color="auto"/>
              <w:bottom w:val="single" w:sz="6" w:space="0" w:color="auto"/>
              <w:right w:val="single" w:sz="6" w:space="0" w:color="auto"/>
            </w:tcBorders>
            <w:hideMark/>
          </w:tcPr>
          <w:p w:rsidR="00BA4EF4" w:rsidRPr="00BA4EF4" w:rsidRDefault="00BA4EF4" w:rsidP="00BA4EF4">
            <w:pPr>
              <w:overflowPunct w:val="0"/>
              <w:autoSpaceDE w:val="0"/>
              <w:autoSpaceDN w:val="0"/>
              <w:adjustRightInd w:val="0"/>
              <w:spacing w:before="60"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140</w:t>
            </w:r>
          </w:p>
          <w:p w:rsidR="00BA4EF4" w:rsidRPr="00BA4EF4" w:rsidRDefault="00BA4EF4" w:rsidP="00BA4EF4">
            <w:pPr>
              <w:overflowPunct w:val="0"/>
              <w:autoSpaceDE w:val="0"/>
              <w:autoSpaceDN w:val="0"/>
              <w:adjustRightInd w:val="0"/>
              <w:spacing w:after="0" w:line="240" w:lineRule="auto"/>
              <w:jc w:val="center"/>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170</w:t>
            </w:r>
          </w:p>
        </w:tc>
      </w:tr>
    </w:tbl>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Zagęszczenie nawierzchni tłuczniowej należy uznać za prawidłowe wtedy, gdy stosunek wtórnego modułu odkształcenia do pierwotnego modułu odkształcenia, mierzonych przy użyciu płyty o średnicy 30 cm, jest nie większy od 2,2 (</w:t>
      </w:r>
      <w:r w:rsidRPr="00BA4EF4">
        <w:rPr>
          <w:rFonts w:ascii="Times New Roman" w:eastAsia="Times New Roman" w:hAnsi="Times New Roman" w:cs="Times New Roman"/>
          <w:position w:val="-10"/>
          <w:sz w:val="20"/>
          <w:szCs w:val="20"/>
          <w:lang w:eastAsia="pl-PL"/>
        </w:rPr>
        <w:object w:dxaOrig="1425" w:dyaOrig="360">
          <v:shape id="_x0000_i1026" type="#_x0000_t75" style="width:71.25pt;height:18pt" o:ole="">
            <v:imagedata r:id="rId8" o:title=""/>
          </v:shape>
          <o:OLEObject Type="Embed" ProgID="Equation.3" ShapeID="_x0000_i1026" DrawAspect="Content" ObjectID="_1694328855" r:id="rId9"/>
        </w:object>
      </w:r>
      <w:r w:rsidRPr="00BA4EF4">
        <w:rPr>
          <w:rFonts w:ascii="Times New Roman" w:eastAsia="Times New Roman" w:hAnsi="Times New Roman" w:cs="Times New Roman"/>
          <w:sz w:val="20"/>
          <w:szCs w:val="20"/>
          <w:lang w:eastAsia="pl-PL"/>
        </w:rPr>
        <w:t>).</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6.6. Zasady postępowania z wadliwie wykonanymi odcinkami nawierzchni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6.6.1. </w:t>
      </w:r>
      <w:r w:rsidRPr="00BA4EF4">
        <w:rPr>
          <w:rFonts w:ascii="Times New Roman" w:eastAsia="Times New Roman" w:hAnsi="Times New Roman" w:cs="Times New Roman"/>
          <w:sz w:val="20"/>
          <w:szCs w:val="20"/>
          <w:lang w:eastAsia="pl-PL"/>
        </w:rPr>
        <w:t>Niewłaściwe uziarnienie i właściwości kruszywa</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Wszystkie kruszywa nie spełniające wymagań podanych w odpowiednich punktach specyfikacji zostaną odrzucone. Jeżeli kruszywa, nie spełniające wymagań zostaną wbudowane, to na polecenie Inżyniera, Wykonawca wymieni je na właściwe, na własny koszt.</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6.6.2. </w:t>
      </w:r>
      <w:r w:rsidRPr="00BA4EF4">
        <w:rPr>
          <w:rFonts w:ascii="Times New Roman" w:eastAsia="Times New Roman" w:hAnsi="Times New Roman" w:cs="Times New Roman"/>
          <w:sz w:val="20"/>
          <w:szCs w:val="20"/>
          <w:lang w:eastAsia="pl-PL"/>
        </w:rPr>
        <w:t>Niewłaściwe cechy geometryczne nawierzchni</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Wszystkie powierzchnie nawierzchni, które wykazują większe odchylenia cech geometrycznych od określonych w punkcie 6.3.2 powinny być naprawione przez spulchnienie lub zerwanie na całą grubość warstwy, wyrównane i powtórnie zagęszczone. Dodanie nowego materiału bez spulchnienia wykonanej warstwy jest niedopuszczalne.</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Roboty te Wykonawca wykona na własny koszt. Po ich wykonaniu nastąpi ponowny pomiar i ocena.</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b/>
          <w:sz w:val="20"/>
          <w:szCs w:val="20"/>
          <w:lang w:eastAsia="pl-PL"/>
        </w:rPr>
        <w:t xml:space="preserve">6.6.3. </w:t>
      </w:r>
      <w:r w:rsidRPr="00BA4EF4">
        <w:rPr>
          <w:rFonts w:ascii="Times New Roman" w:eastAsia="Times New Roman" w:hAnsi="Times New Roman" w:cs="Times New Roman"/>
          <w:sz w:val="20"/>
          <w:szCs w:val="20"/>
          <w:lang w:eastAsia="pl-PL"/>
        </w:rPr>
        <w:t>Niewłaściwa nośność nawierzchni</w:t>
      </w:r>
    </w:p>
    <w:p w:rsidR="00BA4EF4" w:rsidRPr="00BA4EF4" w:rsidRDefault="00BA4EF4" w:rsidP="00BA4EF4">
      <w:pPr>
        <w:overflowPunct w:val="0"/>
        <w:autoSpaceDE w:val="0"/>
        <w:autoSpaceDN w:val="0"/>
        <w:adjustRightInd w:val="0"/>
        <w:spacing w:before="120"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lastRenderedPageBreak/>
        <w:tab/>
        <w:t>Jeżeli nośność nawierzchni będzie mniejsza od wymaganej, to Wykonawca wykona wszelkie roboty niezbędne do zapewnienia wymaganej nośności, zalecone przez Inżyniera.</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Koszty tych dodatkowych robót poniesie Wykonawca tylko wtedy, gdy zaniżenie nośności nawierzchni wynikło z niewłaściwego wykonania przez Wykonawcę robót.</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7. obmiar robót</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7.1. Ogólne zasady obmiaru robót</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zasady obmiaru robót podano w OST D-05.02.00 „Nawierzchnie twarde nieulepszone. Wymagania ogólne” pkt 7.</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7.2. Jednostka obmiarowa</w:t>
      </w:r>
    </w:p>
    <w:p w:rsidR="00BA4EF4" w:rsidRPr="00BA4EF4" w:rsidRDefault="00BA4EF4" w:rsidP="00BA4EF4">
      <w:pPr>
        <w:overflowPunct w:val="0"/>
        <w:autoSpaceDE w:val="0"/>
        <w:autoSpaceDN w:val="0"/>
        <w:adjustRightInd w:val="0"/>
        <w:spacing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Jednostką obmiarową jest 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 xml:space="preserve"> (metr kwadratowy).</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8. odbiór robót</w:t>
      </w:r>
    </w:p>
    <w:p w:rsidR="00BA4EF4" w:rsidRPr="00BA4EF4" w:rsidRDefault="00BA4EF4" w:rsidP="00BA4EF4">
      <w:pPr>
        <w:overflowPunct w:val="0"/>
        <w:autoSpaceDE w:val="0"/>
        <w:autoSpaceDN w:val="0"/>
        <w:adjustRightInd w:val="0"/>
        <w:spacing w:after="12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zasady odbioru robót podano w OST D-05.02.00 „Nawierzchnie twarde nieulepszone. Wymagania ogólne” pkt 8.</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9. podstawa płatności</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9.1. Ogólne ustalenia dotyczące podstawy płatności</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Ogólne ustalenia dotyczące podstawy płatności podano w OST D-05.02.00 „Nawierzchnie twarde nieulepszone. Wymagania ogólne” pkt 9.</w:t>
      </w:r>
    </w:p>
    <w:p w:rsidR="00BA4EF4" w:rsidRPr="00BA4EF4" w:rsidRDefault="00BA4EF4" w:rsidP="00BA4EF4">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20"/>
          <w:szCs w:val="20"/>
          <w:lang w:eastAsia="pl-PL"/>
        </w:rPr>
      </w:pPr>
      <w:r w:rsidRPr="00BA4EF4">
        <w:rPr>
          <w:rFonts w:ascii="Times New Roman" w:eastAsia="Times New Roman" w:hAnsi="Times New Roman" w:cs="Times New Roman"/>
          <w:b/>
          <w:sz w:val="20"/>
          <w:szCs w:val="20"/>
          <w:lang w:eastAsia="pl-PL"/>
        </w:rPr>
        <w:t>9.2. Cena jednostki obmiarowej</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Cena 1 m</w:t>
      </w:r>
      <w:r w:rsidRPr="00BA4EF4">
        <w:rPr>
          <w:rFonts w:ascii="Times New Roman" w:eastAsia="Times New Roman" w:hAnsi="Times New Roman" w:cs="Times New Roman"/>
          <w:sz w:val="20"/>
          <w:szCs w:val="20"/>
          <w:vertAlign w:val="superscript"/>
          <w:lang w:eastAsia="pl-PL"/>
        </w:rPr>
        <w:t>2</w:t>
      </w:r>
      <w:r w:rsidRPr="00BA4EF4">
        <w:rPr>
          <w:rFonts w:ascii="Times New Roman" w:eastAsia="Times New Roman" w:hAnsi="Times New Roman" w:cs="Times New Roman"/>
          <w:sz w:val="20"/>
          <w:szCs w:val="20"/>
          <w:lang w:eastAsia="pl-PL"/>
        </w:rPr>
        <w:t xml:space="preserve"> nawierzchni tłuczniowej obejmuje:</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prace pomiarowe i oznakowanie robót,</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dostarczenie materiałów na miejsce wbudowania,</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rozłożenie warstwy kruszywa grubego (tłucznia, klińca),</w:t>
      </w:r>
    </w:p>
    <w:p w:rsidR="00BA4EF4" w:rsidRPr="00BA4EF4" w:rsidRDefault="00BA4EF4" w:rsidP="00BA4EF4">
      <w:pPr>
        <w:numPr>
          <w:ilvl w:val="0"/>
          <w:numId w:val="1"/>
        </w:num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zaklinowanie warstwy kruszywa grubego, skropienie wodą i zagęszczenie</w:t>
      </w:r>
    </w:p>
    <w:p w:rsidR="00BA4EF4" w:rsidRPr="00BA4EF4" w:rsidRDefault="00BA4EF4" w:rsidP="00BA4EF4">
      <w:pPr>
        <w:numPr>
          <w:ilvl w:val="0"/>
          <w:numId w:val="1"/>
        </w:numPr>
        <w:overflowPunct w:val="0"/>
        <w:autoSpaceDE w:val="0"/>
        <w:autoSpaceDN w:val="0"/>
        <w:adjustRightInd w:val="0"/>
        <w:spacing w:after="120" w:line="240" w:lineRule="auto"/>
        <w:ind w:left="284" w:hanging="284"/>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przeprowadzenie pomiarów i badań laboratoryjnych wymaganych w specyfikacji technicznej.</w:t>
      </w:r>
    </w:p>
    <w:p w:rsidR="00BA4EF4" w:rsidRPr="00BA4EF4" w:rsidRDefault="00BA4EF4" w:rsidP="00BA4EF4">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20"/>
          <w:szCs w:val="20"/>
          <w:lang w:eastAsia="pl-PL"/>
        </w:rPr>
      </w:pPr>
      <w:r w:rsidRPr="00BA4EF4">
        <w:rPr>
          <w:rFonts w:ascii="Times New Roman" w:eastAsia="Times New Roman" w:hAnsi="Times New Roman" w:cs="Times New Roman"/>
          <w:b/>
          <w:caps/>
          <w:kern w:val="28"/>
          <w:sz w:val="20"/>
          <w:szCs w:val="20"/>
          <w:lang w:eastAsia="pl-PL"/>
        </w:rPr>
        <w:t>10. Przepisy związane</w:t>
      </w:r>
    </w:p>
    <w:p w:rsidR="00BA4EF4" w:rsidRPr="00BA4EF4" w:rsidRDefault="00BA4EF4" w:rsidP="00BA4EF4">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BA4EF4">
        <w:rPr>
          <w:rFonts w:ascii="Times New Roman" w:eastAsia="Times New Roman" w:hAnsi="Times New Roman" w:cs="Times New Roman"/>
          <w:sz w:val="20"/>
          <w:szCs w:val="20"/>
          <w:lang w:eastAsia="pl-PL"/>
        </w:rPr>
        <w:tab/>
        <w:t>Przepisy związane podano w OST D-05.02.00 „Nawierzchnie twarde nieulepszone. Wymagania ogólne” pkt 10.</w:t>
      </w:r>
    </w:p>
    <w:p w:rsidR="002007C4" w:rsidRDefault="002007C4"/>
    <w:sectPr w:rsidR="002007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828156E"/>
    <w:lvl w:ilvl="0">
      <w:numFmt w:val="bullet"/>
      <w:lvlText w:val="*"/>
      <w:lvlJc w:val="left"/>
      <w:pPr>
        <w:ind w:left="0" w:firstLine="0"/>
      </w:pPr>
    </w:lvl>
  </w:abstractNum>
  <w:abstractNum w:abstractNumId="1">
    <w:nsid w:val="04CD5A16"/>
    <w:multiLevelType w:val="singleLevel"/>
    <w:tmpl w:val="A1AA6A14"/>
    <w:lvl w:ilvl="0">
      <w:start w:val="1"/>
      <w:numFmt w:val="lowerLetter"/>
      <w:lvlText w:val="%1)"/>
      <w:legacy w:legacy="1" w:legacySpace="0" w:legacyIndent="283"/>
      <w:lvlJc w:val="left"/>
      <w:pPr>
        <w:ind w:left="283" w:hanging="283"/>
      </w:pPr>
    </w:lvl>
  </w:abstractNum>
  <w:abstractNum w:abstractNumId="2">
    <w:nsid w:val="0E563359"/>
    <w:multiLevelType w:val="singleLevel"/>
    <w:tmpl w:val="A1AA6A14"/>
    <w:lvl w:ilvl="0">
      <w:start w:val="1"/>
      <w:numFmt w:val="lowerLetter"/>
      <w:lvlText w:val="%1)"/>
      <w:legacy w:legacy="1" w:legacySpace="0" w:legacyIndent="283"/>
      <w:lvlJc w:val="left"/>
      <w:pPr>
        <w:ind w:left="283" w:hanging="283"/>
      </w:pPr>
    </w:lvl>
  </w:abstractNum>
  <w:abstractNum w:abstractNumId="3">
    <w:nsid w:val="3A8C3EC9"/>
    <w:multiLevelType w:val="singleLevel"/>
    <w:tmpl w:val="8CF8897E"/>
    <w:lvl w:ilvl="0">
      <w:start w:val="2"/>
      <w:numFmt w:val="lowerLetter"/>
      <w:lvlText w:val="%1)"/>
      <w:legacy w:legacy="1" w:legacySpace="0" w:legacyIndent="283"/>
      <w:lvlJc w:val="left"/>
      <w:pPr>
        <w:ind w:left="283" w:hanging="283"/>
      </w:pPr>
    </w:lvl>
  </w:abstractNum>
  <w:abstractNum w:abstractNumId="4">
    <w:nsid w:val="4E2B1654"/>
    <w:multiLevelType w:val="singleLevel"/>
    <w:tmpl w:val="A1AA6A14"/>
    <w:lvl w:ilvl="0">
      <w:start w:val="1"/>
      <w:numFmt w:val="lowerLetter"/>
      <w:lvlText w:val="%1)"/>
      <w:legacy w:legacy="1" w:legacySpace="0" w:legacyIndent="283"/>
      <w:lvlJc w:val="left"/>
      <w:pPr>
        <w:ind w:left="283" w:hanging="283"/>
      </w:pPr>
    </w:lvl>
  </w:abstractNum>
  <w:abstractNum w:abstractNumId="5">
    <w:nsid w:val="6403202D"/>
    <w:multiLevelType w:val="singleLevel"/>
    <w:tmpl w:val="A1AA6A14"/>
    <w:lvl w:ilvl="0">
      <w:start w:val="1"/>
      <w:numFmt w:val="lowerLetter"/>
      <w:lvlText w:val="%1)"/>
      <w:legacy w:legacy="1" w:legacySpace="0" w:legacyIndent="283"/>
      <w:lvlJc w:val="left"/>
      <w:pPr>
        <w:ind w:left="283" w:hanging="283"/>
      </w:pPr>
    </w:lvl>
  </w:abstractNum>
  <w:abstractNum w:abstractNumId="6">
    <w:nsid w:val="7CF50C9F"/>
    <w:multiLevelType w:val="singleLevel"/>
    <w:tmpl w:val="8CF8897E"/>
    <w:lvl w:ilvl="0">
      <w:start w:val="2"/>
      <w:numFmt w:val="lowerLetter"/>
      <w:lvlText w:val="%1)"/>
      <w:legacy w:legacy="1" w:legacySpace="0" w:legacyIndent="283"/>
      <w:lvlJc w:val="left"/>
      <w:pPr>
        <w:ind w:left="283" w:hanging="283"/>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lvlOverride w:ilvl="0">
      <w:startOverride w:val="2"/>
    </w:lvlOverride>
  </w:num>
  <w:num w:numId="3">
    <w:abstractNumId w:val="1"/>
    <w:lvlOverride w:ilvl="0">
      <w:startOverride w:val="1"/>
    </w:lvlOverride>
  </w:num>
  <w:num w:numId="4">
    <w:abstractNumId w:val="2"/>
    <w:lvlOverride w:ilvl="0">
      <w:startOverride w:val="1"/>
    </w:lvlOverride>
  </w:num>
  <w:num w:numId="5">
    <w:abstractNumId w:val="4"/>
    <w:lvlOverride w:ilvl="0">
      <w:startOverride w:val="1"/>
    </w:lvlOverride>
  </w:num>
  <w:num w:numId="6">
    <w:abstractNumId w:val="6"/>
    <w:lvlOverride w:ilvl="0">
      <w:startOverride w:val="2"/>
    </w:lvlOverride>
  </w:num>
  <w:num w:numId="7">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EF4"/>
    <w:rsid w:val="002007C4"/>
    <w:rsid w:val="00BA4E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688806">
      <w:bodyDiv w:val="1"/>
      <w:marLeft w:val="0"/>
      <w:marRight w:val="0"/>
      <w:marTop w:val="0"/>
      <w:marBottom w:val="0"/>
      <w:divBdr>
        <w:top w:val="none" w:sz="0" w:space="0" w:color="auto"/>
        <w:left w:val="none" w:sz="0" w:space="0" w:color="auto"/>
        <w:bottom w:val="none" w:sz="0" w:space="0" w:color="auto"/>
        <w:right w:val="none" w:sz="0" w:space="0" w:color="auto"/>
      </w:divBdr>
    </w:div>
    <w:div w:id="110993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2617</Words>
  <Characters>15705</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2021-09-28T08:01:00Z</dcterms:created>
  <dcterms:modified xsi:type="dcterms:W3CDTF">2021-09-28T08:08:00Z</dcterms:modified>
</cp:coreProperties>
</file>